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E3" w:rsidRDefault="00502DE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Exercise 2.3 ABSORPTION AND MARGINAL COSTING</w:t>
      </w:r>
    </w:p>
    <w:p w:rsidR="009C635B" w:rsidRPr="009C635B" w:rsidRDefault="00502DE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Northwood</w:t>
      </w:r>
      <w:r w:rsidR="009C635B">
        <w:rPr>
          <w:rFonts w:ascii="Cambria" w:hAnsi="Cambria"/>
          <w:sz w:val="24"/>
          <w:szCs w:val="24"/>
        </w:rPr>
        <w:t xml:space="preserve"> Corporation </w:t>
      </w:r>
      <w:r w:rsidR="009C635B" w:rsidRPr="009C635B">
        <w:rPr>
          <w:rFonts w:ascii="Cambria" w:hAnsi="Cambria"/>
          <w:sz w:val="24"/>
          <w:szCs w:val="24"/>
        </w:rPr>
        <w:t>is considering changing its method of inventory valuation fro</w:t>
      </w:r>
      <w:r w:rsidR="00C63B82">
        <w:rPr>
          <w:rFonts w:ascii="Cambria" w:hAnsi="Cambria"/>
          <w:sz w:val="24"/>
          <w:szCs w:val="24"/>
        </w:rPr>
        <w:t>m absorption costing to variable</w:t>
      </w:r>
      <w:r w:rsidR="009C635B" w:rsidRPr="009C635B">
        <w:rPr>
          <w:rFonts w:ascii="Cambria" w:hAnsi="Cambria"/>
          <w:sz w:val="24"/>
          <w:szCs w:val="24"/>
        </w:rPr>
        <w:t xml:space="preserve"> costing and engaged you to determine the effect of the proposed change on the 2017 financial statements.</w:t>
      </w:r>
    </w:p>
    <w:p w:rsidR="00502DE3" w:rsidRDefault="009C635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corporation manufac</w:t>
      </w:r>
      <w:r w:rsidR="0031632A">
        <w:rPr>
          <w:rFonts w:ascii="Cambria" w:hAnsi="Cambria"/>
          <w:sz w:val="24"/>
          <w:szCs w:val="24"/>
        </w:rPr>
        <w:t>tures a Gink which is sold for M</w:t>
      </w:r>
      <w:r>
        <w:rPr>
          <w:rFonts w:ascii="Cambria" w:hAnsi="Cambria"/>
          <w:sz w:val="24"/>
          <w:szCs w:val="24"/>
        </w:rPr>
        <w:t>20 per unit. Production capacity is budgeted at 100 000 units of Gink annually. At this level of production, the cost per unit are</w:t>
      </w:r>
      <w:r w:rsidR="00502DE3">
        <w:rPr>
          <w:rFonts w:ascii="Cambria" w:hAnsi="Cambria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02DE3" w:rsidTr="00502DE3">
        <w:tc>
          <w:tcPr>
            <w:tcW w:w="4508" w:type="dxa"/>
          </w:tcPr>
          <w:p w:rsidR="00502DE3" w:rsidRDefault="00502D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Material</w:t>
            </w:r>
          </w:p>
        </w:tc>
        <w:tc>
          <w:tcPr>
            <w:tcW w:w="4508" w:type="dxa"/>
          </w:tcPr>
          <w:p w:rsidR="00502DE3" w:rsidRDefault="00502DE3" w:rsidP="00502DE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M3.00</w:t>
            </w:r>
          </w:p>
        </w:tc>
      </w:tr>
      <w:tr w:rsidR="00502DE3" w:rsidTr="00502DE3">
        <w:tc>
          <w:tcPr>
            <w:tcW w:w="4508" w:type="dxa"/>
          </w:tcPr>
          <w:p w:rsidR="00502DE3" w:rsidRDefault="00502D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Labour</w:t>
            </w:r>
          </w:p>
        </w:tc>
        <w:tc>
          <w:tcPr>
            <w:tcW w:w="4508" w:type="dxa"/>
          </w:tcPr>
          <w:p w:rsidR="00502DE3" w:rsidRDefault="00502DE3" w:rsidP="00502DE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M5.00</w:t>
            </w:r>
          </w:p>
        </w:tc>
      </w:tr>
      <w:tr w:rsidR="00502DE3" w:rsidTr="00502DE3">
        <w:tc>
          <w:tcPr>
            <w:tcW w:w="4508" w:type="dxa"/>
          </w:tcPr>
          <w:p w:rsidR="00502DE3" w:rsidRDefault="00502D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Variable manufacturing overhead</w:t>
            </w:r>
          </w:p>
        </w:tc>
        <w:tc>
          <w:tcPr>
            <w:tcW w:w="4508" w:type="dxa"/>
          </w:tcPr>
          <w:p w:rsidR="00502DE3" w:rsidRDefault="00502DE3" w:rsidP="00502DE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M1.00</w:t>
            </w:r>
          </w:p>
        </w:tc>
      </w:tr>
      <w:tr w:rsidR="00502DE3" w:rsidTr="00502DE3">
        <w:tc>
          <w:tcPr>
            <w:tcW w:w="4508" w:type="dxa"/>
          </w:tcPr>
          <w:p w:rsidR="00502DE3" w:rsidRDefault="00502D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Fixed manufacturing overhead</w:t>
            </w:r>
          </w:p>
        </w:tc>
        <w:tc>
          <w:tcPr>
            <w:tcW w:w="4508" w:type="dxa"/>
          </w:tcPr>
          <w:p w:rsidR="00502DE3" w:rsidRDefault="00502DE3" w:rsidP="00502DE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M1.00</w:t>
            </w:r>
          </w:p>
        </w:tc>
      </w:tr>
    </w:tbl>
    <w:p w:rsidR="009C635B" w:rsidRPr="00502DE3" w:rsidRDefault="009C635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502DE3" w:rsidRPr="00502DE3" w:rsidRDefault="00502DE3">
      <w:pPr>
        <w:rPr>
          <w:rFonts w:ascii="Cambria" w:hAnsi="Cambria"/>
          <w:b/>
          <w:sz w:val="24"/>
          <w:szCs w:val="24"/>
        </w:rPr>
      </w:pPr>
      <w:r w:rsidRPr="00502DE3">
        <w:rPr>
          <w:rFonts w:ascii="Cambria" w:hAnsi="Cambria"/>
          <w:b/>
          <w:sz w:val="24"/>
          <w:szCs w:val="24"/>
        </w:rPr>
        <w:t>Selling expenses at 100,000 unit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02DE3" w:rsidTr="00502DE3">
        <w:tc>
          <w:tcPr>
            <w:tcW w:w="4508" w:type="dxa"/>
          </w:tcPr>
          <w:p w:rsidR="00502DE3" w:rsidRDefault="00502D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Variable</w:t>
            </w:r>
          </w:p>
        </w:tc>
        <w:tc>
          <w:tcPr>
            <w:tcW w:w="4508" w:type="dxa"/>
          </w:tcPr>
          <w:p w:rsidR="00502DE3" w:rsidRDefault="0031632A" w:rsidP="00502DE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  <w:r w:rsidR="00502DE3">
              <w:rPr>
                <w:rFonts w:ascii="Cambria" w:hAnsi="Cambria"/>
                <w:sz w:val="24"/>
                <w:szCs w:val="24"/>
              </w:rPr>
              <w:t>1.00</w:t>
            </w:r>
          </w:p>
        </w:tc>
      </w:tr>
      <w:tr w:rsidR="00502DE3" w:rsidTr="00502DE3">
        <w:tc>
          <w:tcPr>
            <w:tcW w:w="4508" w:type="dxa"/>
          </w:tcPr>
          <w:p w:rsidR="00502DE3" w:rsidRDefault="00502D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Fixed(advertising)</w:t>
            </w:r>
          </w:p>
        </w:tc>
        <w:tc>
          <w:tcPr>
            <w:tcW w:w="4508" w:type="dxa"/>
          </w:tcPr>
          <w:p w:rsidR="00502DE3" w:rsidRDefault="0031632A" w:rsidP="00502DE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  <w:bookmarkStart w:id="0" w:name="_GoBack"/>
            <w:bookmarkEnd w:id="0"/>
            <w:r w:rsidR="00502DE3">
              <w:rPr>
                <w:rFonts w:ascii="Cambria" w:hAnsi="Cambria"/>
                <w:sz w:val="24"/>
                <w:szCs w:val="24"/>
              </w:rPr>
              <w:t>0.50</w:t>
            </w:r>
          </w:p>
        </w:tc>
      </w:tr>
    </w:tbl>
    <w:p w:rsidR="00502DE3" w:rsidRDefault="00502DE3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02DE3" w:rsidTr="00502DE3">
        <w:tc>
          <w:tcPr>
            <w:tcW w:w="4508" w:type="dxa"/>
          </w:tcPr>
          <w:p w:rsidR="00502DE3" w:rsidRDefault="00502D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Opening Stock 1</w:t>
            </w:r>
            <w:r w:rsidRPr="00502DE3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hAnsi="Cambria"/>
                <w:sz w:val="24"/>
                <w:szCs w:val="24"/>
              </w:rPr>
              <w:t xml:space="preserve"> April 2016</w:t>
            </w:r>
          </w:p>
        </w:tc>
        <w:tc>
          <w:tcPr>
            <w:tcW w:w="4508" w:type="dxa"/>
          </w:tcPr>
          <w:p w:rsidR="00502DE3" w:rsidRDefault="00502DE3" w:rsidP="00502DE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5000 units</w:t>
            </w:r>
          </w:p>
        </w:tc>
      </w:tr>
      <w:tr w:rsidR="00502DE3" w:rsidTr="00502DE3">
        <w:tc>
          <w:tcPr>
            <w:tcW w:w="4508" w:type="dxa"/>
          </w:tcPr>
          <w:p w:rsidR="00502DE3" w:rsidRDefault="00502D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Production in current year</w:t>
            </w:r>
          </w:p>
        </w:tc>
        <w:tc>
          <w:tcPr>
            <w:tcW w:w="4508" w:type="dxa"/>
          </w:tcPr>
          <w:p w:rsidR="00502DE3" w:rsidRDefault="00502DE3" w:rsidP="00502DE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80 000 units</w:t>
            </w:r>
          </w:p>
        </w:tc>
      </w:tr>
      <w:tr w:rsidR="00502DE3" w:rsidTr="00502DE3">
        <w:tc>
          <w:tcPr>
            <w:tcW w:w="4508" w:type="dxa"/>
          </w:tcPr>
          <w:p w:rsidR="00502DE3" w:rsidRDefault="00502D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Sales</w:t>
            </w:r>
          </w:p>
        </w:tc>
        <w:tc>
          <w:tcPr>
            <w:tcW w:w="4508" w:type="dxa"/>
          </w:tcPr>
          <w:p w:rsidR="00502DE3" w:rsidRDefault="00502DE3" w:rsidP="00502DE3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60 000 units</w:t>
            </w:r>
          </w:p>
        </w:tc>
      </w:tr>
    </w:tbl>
    <w:p w:rsidR="00502DE3" w:rsidRDefault="00502DE3">
      <w:pPr>
        <w:rPr>
          <w:rFonts w:ascii="Cambria" w:hAnsi="Cambria"/>
          <w:sz w:val="24"/>
          <w:szCs w:val="24"/>
        </w:rPr>
      </w:pPr>
    </w:p>
    <w:p w:rsidR="00502DE3" w:rsidRDefault="00502DE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are required to:</w:t>
      </w:r>
    </w:p>
    <w:p w:rsidR="00502DE3" w:rsidRDefault="00502DE3" w:rsidP="00502DE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Prepare an income statement on the absorption cost basis</w:t>
      </w:r>
    </w:p>
    <w:p w:rsidR="00502DE3" w:rsidRPr="00502DE3" w:rsidRDefault="00502DE3" w:rsidP="00502DE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Prepare an income statement on a variable cost basis with a prior year adjustment for the change in stock valuation.</w:t>
      </w:r>
    </w:p>
    <w:sectPr w:rsidR="00502DE3" w:rsidRPr="00502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67F52"/>
    <w:multiLevelType w:val="hybridMultilevel"/>
    <w:tmpl w:val="8AF2D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5B"/>
    <w:rsid w:val="0031632A"/>
    <w:rsid w:val="00502DE3"/>
    <w:rsid w:val="005F0C90"/>
    <w:rsid w:val="009C635B"/>
    <w:rsid w:val="00C6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6E4DA-4FA8-4E5C-AA1C-B478F579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2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T.Mosoeunyane</dc:creator>
  <cp:keywords/>
  <dc:description/>
  <cp:lastModifiedBy>T.Mosoeunyane</cp:lastModifiedBy>
  <cp:revision>2</cp:revision>
  <dcterms:created xsi:type="dcterms:W3CDTF">2018-02-26T06:36:00Z</dcterms:created>
  <dcterms:modified xsi:type="dcterms:W3CDTF">2018-02-28T06:30:00Z</dcterms:modified>
</cp:coreProperties>
</file>