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C2D7" w14:textId="77777777" w:rsidR="00D86D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МІНІСТЕРСТВО ОСВІТИ І НАУКИ УКРАЇНИ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4AE86E" wp14:editId="79C3C4FC">
            <wp:simplePos x="0" y="0"/>
            <wp:positionH relativeFrom="column">
              <wp:posOffset>-695324</wp:posOffset>
            </wp:positionH>
            <wp:positionV relativeFrom="paragraph">
              <wp:posOffset>94055</wp:posOffset>
            </wp:positionV>
            <wp:extent cx="1467803" cy="9727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803" cy="97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D76DD2" w14:textId="77777777" w:rsidR="00D86D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Глухівський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</w:t>
      </w:r>
      <w:proofErr w:type="spellEnd"/>
    </w:p>
    <w:p w14:paraId="439D0893" w14:textId="77777777" w:rsidR="00D86D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Олександра Довженка</w:t>
      </w:r>
    </w:p>
    <w:p w14:paraId="7A5ECFD5" w14:textId="77777777" w:rsidR="00D86DB3" w:rsidRDefault="00D86D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815D1" w14:textId="77777777" w:rsidR="00D86D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Навчально-науковий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інститут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психології</w:t>
      </w:r>
      <w:proofErr w:type="spellEnd"/>
    </w:p>
    <w:p w14:paraId="2849BB15" w14:textId="77777777" w:rsidR="00D86D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менеджменту</w:t>
      </w:r>
    </w:p>
    <w:p w14:paraId="2F9AEB66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456891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СИЛАБУС</w:t>
      </w:r>
    </w:p>
    <w:p w14:paraId="32C96B94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дисципліни</w:t>
      </w:r>
      <w:proofErr w:type="spellEnd"/>
    </w:p>
    <w:p w14:paraId="7430CBA1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Психологія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стресу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tbl>
      <w:tblPr>
        <w:tblStyle w:val="ab"/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14"/>
        <w:gridCol w:w="6967"/>
      </w:tblGrid>
      <w:tr w:rsidR="00D86DB3" w14:paraId="01C0CB61" w14:textId="77777777">
        <w:trPr>
          <w:trHeight w:val="31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C88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A2316" w14:textId="3B964F3D" w:rsidR="00D86DB3" w:rsidRPr="00294C6E" w:rsidRDefault="00294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</w:t>
            </w:r>
          </w:p>
        </w:tc>
      </w:tr>
      <w:tr w:rsidR="00D86DB3" w14:paraId="0A920B86" w14:textId="77777777">
        <w:trPr>
          <w:trHeight w:val="31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72F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FD09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магістерський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D86DB3" w14:paraId="705FF34E" w14:textId="77777777">
        <w:trPr>
          <w:trHeight w:val="31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BEEA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8E96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Нормативна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дисципліна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D86DB3" w14:paraId="0D2AB512" w14:textId="77777777">
        <w:trPr>
          <w:trHeight w:val="313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E914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B73E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поведінкові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науки»</w:t>
            </w:r>
          </w:p>
        </w:tc>
      </w:tr>
      <w:tr w:rsidR="00D86DB3" w14:paraId="1F2D8957" w14:textId="77777777">
        <w:trPr>
          <w:trHeight w:val="42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3E1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7EE4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86DB3" w14:paraId="348482E4" w14:textId="77777777">
        <w:trPr>
          <w:trHeight w:val="42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9D2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AE29E" w14:textId="635FC09E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Психолог.</w:t>
            </w:r>
          </w:p>
        </w:tc>
      </w:tr>
      <w:tr w:rsidR="00D86DB3" w14:paraId="044827AD" w14:textId="77777777">
        <w:trPr>
          <w:trHeight w:val="23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E473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EA90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ECTS (120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годин)</w:t>
            </w:r>
          </w:p>
        </w:tc>
      </w:tr>
      <w:tr w:rsidR="00D86DB3" w14:paraId="38A558A6" w14:textId="77777777">
        <w:trPr>
          <w:trHeight w:val="23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C40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занять</w:t>
            </w:r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C2D5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</w:tr>
      <w:tr w:rsidR="00D86DB3" w14:paraId="4841CAEB" w14:textId="77777777">
        <w:trPr>
          <w:trHeight w:val="23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A88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контролю</w:t>
            </w:r>
          </w:p>
        </w:tc>
        <w:tc>
          <w:tcPr>
            <w:tcW w:w="6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D17A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</w:tbl>
    <w:p w14:paraId="1F12845F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405FE" w14:textId="2E2C7AD4" w:rsidR="00D86DB3" w:rsidRDefault="00000000" w:rsidP="00294C6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436E34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38B9D3F7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магістерського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нормативна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другому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охоплює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 год.)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 год.),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(90 год.),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іспит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4C0574E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  в ОПП:</w:t>
      </w:r>
    </w:p>
    <w:p w14:paraId="0862E1BE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внесено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 у другому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7AFA5B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озброєння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уявленнями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психотерапевтів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E36814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курсу:</w:t>
      </w:r>
    </w:p>
    <w:p w14:paraId="0B1C73C7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уявленнями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природу; 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уявлень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оптимального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стресостійкості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9248B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FFCBA3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набути таких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компетентностей:</w:t>
      </w:r>
    </w:p>
    <w:p w14:paraId="2D80EE75" w14:textId="77777777" w:rsidR="00D86D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(ЗК)</w:t>
      </w:r>
    </w:p>
    <w:p w14:paraId="4648B880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EDAD09A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B81966F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комунікаційних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750F2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6D2CAB8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самокритичним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FB7CB3D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8FCA731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FA7004E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примножувати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закономірностей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C393B2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Попередні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преріквізити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5E05C198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Фахові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(ФК)</w:t>
      </w:r>
    </w:p>
    <w:p w14:paraId="1DE0CB53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категоріально-понятійним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психології</w:t>
      </w:r>
      <w:proofErr w:type="spellEnd"/>
    </w:p>
    <w:p w14:paraId="53E4E03B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ретроспективного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вітчизняного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зарубіжного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7B104D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вчинків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2D1DC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критично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опрацьовувати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</w:t>
      </w:r>
      <w:proofErr w:type="spellEnd"/>
    </w:p>
    <w:p w14:paraId="37DC6A42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психодіагностичний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інструментарій</w:t>
      </w:r>
      <w:proofErr w:type="spellEnd"/>
    </w:p>
    <w:p w14:paraId="1DE52F5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</w:t>
      </w:r>
      <w:proofErr w:type="spellEnd"/>
    </w:p>
    <w:p w14:paraId="7C55A30C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рекомендації</w:t>
      </w:r>
      <w:proofErr w:type="spellEnd"/>
    </w:p>
    <w:p w14:paraId="7C5CF50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530D627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просвітницьку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психопрофілактичну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запиту</w:t>
      </w:r>
      <w:proofErr w:type="spellEnd"/>
    </w:p>
    <w:p w14:paraId="0D944A1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етики</w:t>
      </w:r>
      <w:proofErr w:type="spellEnd"/>
    </w:p>
    <w:p w14:paraId="0CEB4FD7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ФК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самовдосконалення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саморозвитку</w:t>
      </w:r>
      <w:proofErr w:type="spellEnd"/>
    </w:p>
    <w:p w14:paraId="3A62ABC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навчання</w:t>
      </w:r>
      <w:proofErr w:type="spellEnd"/>
    </w:p>
    <w:p w14:paraId="7664750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ПРН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розв’язання</w:t>
      </w:r>
      <w:proofErr w:type="spellEnd"/>
    </w:p>
    <w:p w14:paraId="06EADD9F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</w:p>
    <w:p w14:paraId="7B44E04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т.ч.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інформаційно-комунікаційних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5CAA2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психодіагностичний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інструментарій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опитувальники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</w:p>
    <w:p w14:paraId="29F89A5F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</w:t>
      </w:r>
      <w:proofErr w:type="spellEnd"/>
    </w:p>
    <w:p w14:paraId="4147002F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і проблем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розв’язання</w:t>
      </w:r>
      <w:proofErr w:type="spellEnd"/>
    </w:p>
    <w:p w14:paraId="5BDEE47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доступно,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модифікувати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співрозмовника</w:t>
      </w:r>
      <w:proofErr w:type="spellEnd"/>
    </w:p>
    <w:p w14:paraId="10EF777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психопрофілактичних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просвітницьких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тренінгів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C68F42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Взаємодіяти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комунікацію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зрозумілим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толерантно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гендерно-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72A2F4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фахових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лідерські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E24B8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самовдосконалення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саморозвитку</w:t>
      </w:r>
      <w:proofErr w:type="spellEnd"/>
    </w:p>
    <w:p w14:paraId="69782832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16. Знати,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психолога</w:t>
      </w:r>
    </w:p>
    <w:p w14:paraId="41AB022C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ПРН 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свідому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слідувати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гуманістичним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F1D10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AC8CE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2A46401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Комп’ютер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Windows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Mozilla Firefox, MS Office 2010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пізнішої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Google Класс,  Zoom,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бібліотеки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бібліотечних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641536C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CE33F4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занять.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FEFEC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Лекція-бесіда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безпосередній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піклується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для контролю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з’ясування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орієнтованості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проблем курсу,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карантину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ZOOM.</w:t>
      </w:r>
    </w:p>
    <w:p w14:paraId="5580E16C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постановку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розв'язування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студентом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зараховуються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карантину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сервісу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54D0DD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Самостійна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робота студента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(СРС)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діяльність-учіння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студента, яку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студентом,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контролем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DD85F3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пропоновану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тему;</w:t>
      </w:r>
    </w:p>
    <w:p w14:paraId="0968A90D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пропоновані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теми;</w:t>
      </w:r>
    </w:p>
    <w:p w14:paraId="0F2A0F3F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узагальнюючих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тем.</w:t>
      </w:r>
    </w:p>
    <w:p w14:paraId="5B97AE37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карантину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ZOOM.</w:t>
      </w:r>
    </w:p>
    <w:p w14:paraId="65035503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1368C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дисципліни</w:t>
      </w:r>
      <w:proofErr w:type="spellEnd"/>
    </w:p>
    <w:p w14:paraId="19F66643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17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027"/>
        <w:gridCol w:w="881"/>
        <w:gridCol w:w="1976"/>
        <w:gridCol w:w="2247"/>
      </w:tblGrid>
      <w:tr w:rsidR="00D86DB3" w14:paraId="1594883D" w14:textId="77777777">
        <w:tc>
          <w:tcPr>
            <w:tcW w:w="3045" w:type="dxa"/>
          </w:tcPr>
          <w:p w14:paraId="1CBDE42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14:paraId="3BE7189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  <w:proofErr w:type="spellEnd"/>
          </w:p>
          <w:p w14:paraId="2BA64F70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(год.)</w:t>
            </w:r>
          </w:p>
        </w:tc>
        <w:tc>
          <w:tcPr>
            <w:tcW w:w="881" w:type="dxa"/>
          </w:tcPr>
          <w:p w14:paraId="2642509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Лаб. роб.</w:t>
            </w:r>
          </w:p>
          <w:p w14:paraId="591A3640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(год.)</w:t>
            </w:r>
          </w:p>
        </w:tc>
        <w:tc>
          <w:tcPr>
            <w:tcW w:w="1976" w:type="dxa"/>
          </w:tcPr>
          <w:p w14:paraId="5DA0121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роб.</w:t>
            </w:r>
          </w:p>
          <w:p w14:paraId="60E2B1DA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(год.)</w:t>
            </w:r>
          </w:p>
          <w:p w14:paraId="73CDEC8E" w14:textId="77777777" w:rsidR="00D86DB3" w:rsidRDefault="00D8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DF90729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СРС </w:t>
            </w:r>
          </w:p>
        </w:tc>
      </w:tr>
      <w:tr w:rsidR="00D86DB3" w14:paraId="42E837AC" w14:textId="77777777">
        <w:tc>
          <w:tcPr>
            <w:tcW w:w="9176" w:type="dxa"/>
            <w:gridSpan w:val="5"/>
          </w:tcPr>
          <w:p w14:paraId="7E3B458D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1. ПСИХОЛОГІЧНІ ОСОБЛИВОСТІ СТРЕСУ: ПРИЧИНИ, ЗАКОНОМІРНОСТІ, НАСЛІДКИ.</w:t>
            </w:r>
          </w:p>
        </w:tc>
      </w:tr>
      <w:tr w:rsidR="00D86DB3" w14:paraId="5C2C529B" w14:textId="77777777">
        <w:tc>
          <w:tcPr>
            <w:tcW w:w="3045" w:type="dxa"/>
          </w:tcPr>
          <w:p w14:paraId="61AC884A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14:paraId="32F571AD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14:paraId="0D16B7D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14:paraId="3B9688B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1907D2BD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6DB3" w14:paraId="111F10D7" w14:textId="77777777">
        <w:tc>
          <w:tcPr>
            <w:tcW w:w="3045" w:type="dxa"/>
          </w:tcPr>
          <w:p w14:paraId="2B69FC1F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Фізіологія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14:paraId="1BF9F5C0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14:paraId="5F557AF9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14:paraId="6D5B9372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14:paraId="6D34795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6DB3" w14:paraId="705B7D41" w14:textId="77777777">
        <w:tc>
          <w:tcPr>
            <w:tcW w:w="3045" w:type="dxa"/>
          </w:tcPr>
          <w:p w14:paraId="6FD5B7AF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14:paraId="74F49B8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14:paraId="66FF53B2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14:paraId="6C3AC2C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14:paraId="254F5ACF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6DB3" w14:paraId="57A69CBD" w14:textId="77777777">
        <w:tc>
          <w:tcPr>
            <w:tcW w:w="9176" w:type="dxa"/>
            <w:gridSpan w:val="5"/>
          </w:tcPr>
          <w:p w14:paraId="00E1207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2. ДІАГНОСТИКА ТА КОРЕКЦІЯ СТРЕСОВИХ СТАНІВ.</w:t>
            </w:r>
          </w:p>
        </w:tc>
      </w:tr>
      <w:tr w:rsidR="00D86DB3" w14:paraId="48F8A8DA" w14:textId="77777777">
        <w:tc>
          <w:tcPr>
            <w:tcW w:w="3045" w:type="dxa"/>
          </w:tcPr>
          <w:p w14:paraId="2DD7EB02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Проблема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14:paraId="4F5F83B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14:paraId="1E4C009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14:paraId="64BF2174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14:paraId="13734A5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6DB3" w14:paraId="25F46F0C" w14:textId="77777777">
        <w:tc>
          <w:tcPr>
            <w:tcW w:w="3045" w:type="dxa"/>
          </w:tcPr>
          <w:p w14:paraId="06728F9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027" w:type="dxa"/>
          </w:tcPr>
          <w:p w14:paraId="73FB1F8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14:paraId="03F5FE3A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14:paraId="0F26ABC0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14:paraId="59978C7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6DB3" w14:paraId="59BC833C" w14:textId="77777777">
        <w:tc>
          <w:tcPr>
            <w:tcW w:w="3045" w:type="dxa"/>
          </w:tcPr>
          <w:p w14:paraId="2D54F39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14:paraId="2F1154E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14:paraId="46F2D71E" w14:textId="77777777" w:rsidR="00D86DB3" w:rsidRDefault="00D8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D33726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14:paraId="69B82DA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6DB3" w14:paraId="6E3ADDED" w14:textId="77777777">
        <w:tc>
          <w:tcPr>
            <w:tcW w:w="3045" w:type="dxa"/>
          </w:tcPr>
          <w:p w14:paraId="300382A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027" w:type="dxa"/>
          </w:tcPr>
          <w:p w14:paraId="11B7B25C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</w:tcPr>
          <w:p w14:paraId="4F4232A9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14:paraId="399E62EC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7" w:type="dxa"/>
          </w:tcPr>
          <w:p w14:paraId="0C45D64C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14:paraId="6360AF67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35E840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дисципліни</w:t>
      </w:r>
      <w:proofErr w:type="spellEnd"/>
    </w:p>
    <w:p w14:paraId="221B8CF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іспит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15FB6534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Історія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3. 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диференційованого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характеристики.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стресостійкості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Фізіологічні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фізіологічних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закономірностей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розгортання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незворотніх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Диференційованості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неефективні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посттравматичний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неконтрольований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синдром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безпорадності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локус контролю. 21.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детермінант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Взаємодія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причин. 25.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інтерпретації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прогнозу. 26.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розгортання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стресостійкості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29. 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вигорання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детермінант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шляхів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посттравматичного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34. Тактики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663954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Система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оцінювання</w:t>
      </w:r>
      <w:proofErr w:type="spellEnd"/>
    </w:p>
    <w:p w14:paraId="34B2499F" w14:textId="77777777" w:rsidR="00D86DB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компетентнісному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підході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6BF2723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модульно-рейтинговою системою,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звітності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модульного 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накопичувальної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умінь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4D4367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поточного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контролю. </w:t>
      </w:r>
    </w:p>
    <w:p w14:paraId="551FB084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бесіда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варіантами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розв’язування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тестова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закритими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тестами);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3BC3999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сумою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з кожного модуля,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з кожного модуля 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іспиту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комбінована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59E7DCF7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наказу №396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05.12.2011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контролю (семестрового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І семестр 2011-2012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.)»:</w:t>
      </w:r>
    </w:p>
    <w:p w14:paraId="2F14E8E4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1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«….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середньозваженого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шкалою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успішності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ІНПС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заліковій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ЄКТС.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Середньозважений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 (Сб)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вагового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коефіцієнта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(ВК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семінарські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контроль, МКР = 0,2; СРС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доповіді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виступи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ІРС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робота,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семінарі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олімпіаді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0,1;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екзамен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0,2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коефіцієнтів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(практики),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практики);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середньоарифметичного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значення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оцінок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студентом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шкалою…»</w:t>
      </w:r>
    </w:p>
    <w:p w14:paraId="503741A7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E80CD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модулями</w:t>
      </w:r>
    </w:p>
    <w:p w14:paraId="5D003035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64548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10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1597"/>
        <w:gridCol w:w="922"/>
        <w:gridCol w:w="1138"/>
      </w:tblGrid>
      <w:tr w:rsidR="00D86DB3" w14:paraId="0374EE35" w14:textId="77777777">
        <w:tc>
          <w:tcPr>
            <w:tcW w:w="4361" w:type="dxa"/>
            <w:gridSpan w:val="2"/>
          </w:tcPr>
          <w:p w14:paraId="01DCC7C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1</w:t>
            </w:r>
          </w:p>
        </w:tc>
        <w:tc>
          <w:tcPr>
            <w:tcW w:w="3723" w:type="dxa"/>
            <w:gridSpan w:val="2"/>
          </w:tcPr>
          <w:p w14:paraId="0DE9EC00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модуль 2</w:t>
            </w:r>
          </w:p>
        </w:tc>
        <w:tc>
          <w:tcPr>
            <w:tcW w:w="922" w:type="dxa"/>
          </w:tcPr>
          <w:p w14:paraId="620F7E6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ККР</w:t>
            </w:r>
          </w:p>
        </w:tc>
        <w:tc>
          <w:tcPr>
            <w:tcW w:w="1138" w:type="dxa"/>
          </w:tcPr>
          <w:p w14:paraId="07708A4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  <w:tr w:rsidR="00D86DB3" w14:paraId="35953894" w14:textId="77777777">
        <w:tc>
          <w:tcPr>
            <w:tcW w:w="2235" w:type="dxa"/>
          </w:tcPr>
          <w:p w14:paraId="37E30DC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126" w:type="dxa"/>
          </w:tcPr>
          <w:p w14:paraId="1C93FFF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Модульна</w:t>
            </w:r>
            <w:proofErr w:type="spellEnd"/>
          </w:p>
          <w:p w14:paraId="74D0099C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контр.роб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C0DA62C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597" w:type="dxa"/>
          </w:tcPr>
          <w:p w14:paraId="62ACD39A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Модульна</w:t>
            </w:r>
            <w:proofErr w:type="spellEnd"/>
          </w:p>
          <w:p w14:paraId="1B3EB142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контр.роб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2" w:type="dxa"/>
          </w:tcPr>
          <w:p w14:paraId="4F23038C" w14:textId="77777777" w:rsidR="00D86DB3" w:rsidRDefault="00D8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D4BF225" w14:textId="77777777" w:rsidR="00D86DB3" w:rsidRDefault="00D8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DB3" w14:paraId="27193A9D" w14:textId="77777777">
        <w:tc>
          <w:tcPr>
            <w:tcW w:w="2235" w:type="dxa"/>
          </w:tcPr>
          <w:p w14:paraId="38A85604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CF89F89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90D1A9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7" w:type="dxa"/>
          </w:tcPr>
          <w:p w14:paraId="66C117AC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14:paraId="18B60A0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14:paraId="1AAAD77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6DB3" w14:paraId="7409C6C8" w14:textId="77777777">
        <w:tc>
          <w:tcPr>
            <w:tcW w:w="10144" w:type="dxa"/>
            <w:gridSpan w:val="6"/>
          </w:tcPr>
          <w:p w14:paraId="0DEA63F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- 100</w:t>
            </w:r>
          </w:p>
        </w:tc>
      </w:tr>
    </w:tbl>
    <w:p w14:paraId="361BCE82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E21C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досягнень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курсу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f"/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190"/>
        <w:gridCol w:w="976"/>
        <w:gridCol w:w="376"/>
        <w:gridCol w:w="2192"/>
        <w:gridCol w:w="4767"/>
      </w:tblGrid>
      <w:tr w:rsidR="00D86DB3" w14:paraId="2D4DB3D9" w14:textId="77777777">
        <w:tc>
          <w:tcPr>
            <w:tcW w:w="640" w:type="dxa"/>
            <w:vAlign w:val="center"/>
          </w:tcPr>
          <w:p w14:paraId="75F28CE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ECTS</w:t>
            </w:r>
          </w:p>
        </w:tc>
        <w:tc>
          <w:tcPr>
            <w:tcW w:w="1190" w:type="dxa"/>
            <w:vAlign w:val="center"/>
          </w:tcPr>
          <w:p w14:paraId="75139FC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Середньо-зважений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інтервальну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шкалу</w:t>
            </w:r>
          </w:p>
        </w:tc>
        <w:tc>
          <w:tcPr>
            <w:tcW w:w="976" w:type="dxa"/>
            <w:vAlign w:val="center"/>
          </w:tcPr>
          <w:p w14:paraId="0CE581DE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100 бальною шкалою</w:t>
            </w:r>
          </w:p>
        </w:tc>
        <w:tc>
          <w:tcPr>
            <w:tcW w:w="2568" w:type="dxa"/>
            <w:gridSpan w:val="2"/>
            <w:vAlign w:val="center"/>
          </w:tcPr>
          <w:p w14:paraId="5BB3DCC4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Національна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оцінка</w:t>
            </w:r>
            <w:proofErr w:type="spellEnd"/>
          </w:p>
        </w:tc>
        <w:tc>
          <w:tcPr>
            <w:tcW w:w="4767" w:type="dxa"/>
            <w:vAlign w:val="center"/>
          </w:tcPr>
          <w:p w14:paraId="1E29311C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13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Критерії</w:t>
            </w:r>
            <w:proofErr w:type="spellEnd"/>
          </w:p>
        </w:tc>
      </w:tr>
      <w:tr w:rsidR="00D86DB3" w14:paraId="11221B65" w14:textId="77777777">
        <w:tc>
          <w:tcPr>
            <w:tcW w:w="640" w:type="dxa"/>
            <w:vMerge w:val="restart"/>
          </w:tcPr>
          <w:p w14:paraId="18F959E9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1190" w:type="dxa"/>
          </w:tcPr>
          <w:p w14:paraId="30FAFD7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4,51-5,00</w:t>
            </w:r>
          </w:p>
        </w:tc>
        <w:tc>
          <w:tcPr>
            <w:tcW w:w="976" w:type="dxa"/>
          </w:tcPr>
          <w:p w14:paraId="27DA6C1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90-100</w:t>
            </w:r>
          </w:p>
        </w:tc>
        <w:tc>
          <w:tcPr>
            <w:tcW w:w="376" w:type="dxa"/>
            <w:vMerge w:val="restart"/>
          </w:tcPr>
          <w:p w14:paraId="0171682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192" w:type="dxa"/>
            <w:vMerge w:val="restart"/>
          </w:tcPr>
          <w:p w14:paraId="76B46F2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1A5CE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Відмінно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(ПРН).</w:t>
            </w:r>
          </w:p>
          <w:p w14:paraId="256BE96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 w:val="restart"/>
          </w:tcPr>
          <w:p w14:paraId="37E6178C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міжпредметні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напрямки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неістотних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однією-двома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86DB3" w14:paraId="5D6125CC" w14:textId="77777777">
        <w:tc>
          <w:tcPr>
            <w:tcW w:w="640" w:type="dxa"/>
            <w:vMerge/>
          </w:tcPr>
          <w:p w14:paraId="6481BAB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FE60F0C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76" w:type="dxa"/>
          </w:tcPr>
          <w:p w14:paraId="17DC1B2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76" w:type="dxa"/>
            <w:vMerge/>
          </w:tcPr>
          <w:p w14:paraId="720A47D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0F72BE1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3FF2B6F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4E9B8C4" w14:textId="77777777">
        <w:tc>
          <w:tcPr>
            <w:tcW w:w="640" w:type="dxa"/>
            <w:vMerge/>
          </w:tcPr>
          <w:p w14:paraId="72F3F2A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3B1C273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4,95</w:t>
            </w:r>
          </w:p>
        </w:tc>
        <w:tc>
          <w:tcPr>
            <w:tcW w:w="976" w:type="dxa"/>
          </w:tcPr>
          <w:p w14:paraId="257D62F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76" w:type="dxa"/>
            <w:vMerge/>
          </w:tcPr>
          <w:p w14:paraId="564A3F2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9656F1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4363C0D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05F5F578" w14:textId="77777777">
        <w:tc>
          <w:tcPr>
            <w:tcW w:w="640" w:type="dxa"/>
            <w:vMerge/>
          </w:tcPr>
          <w:p w14:paraId="75622E0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28D129E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  <w:tc>
          <w:tcPr>
            <w:tcW w:w="976" w:type="dxa"/>
          </w:tcPr>
          <w:p w14:paraId="0910214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76" w:type="dxa"/>
            <w:vMerge/>
          </w:tcPr>
          <w:p w14:paraId="4AD94728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0C8BA36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6407452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AA2820F" w14:textId="77777777">
        <w:tc>
          <w:tcPr>
            <w:tcW w:w="640" w:type="dxa"/>
            <w:vMerge/>
          </w:tcPr>
          <w:p w14:paraId="47D6A47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06FE84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4,85</w:t>
            </w:r>
          </w:p>
        </w:tc>
        <w:tc>
          <w:tcPr>
            <w:tcW w:w="976" w:type="dxa"/>
          </w:tcPr>
          <w:p w14:paraId="302DF7F5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76" w:type="dxa"/>
            <w:vMerge/>
          </w:tcPr>
          <w:p w14:paraId="6E8E2C8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F4EE53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0BBAB2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3A8A1520" w14:textId="77777777">
        <w:tc>
          <w:tcPr>
            <w:tcW w:w="640" w:type="dxa"/>
            <w:vMerge/>
          </w:tcPr>
          <w:p w14:paraId="776479F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4A74CD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4,80</w:t>
            </w:r>
          </w:p>
        </w:tc>
        <w:tc>
          <w:tcPr>
            <w:tcW w:w="976" w:type="dxa"/>
          </w:tcPr>
          <w:p w14:paraId="013B03B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76" w:type="dxa"/>
            <w:vMerge/>
          </w:tcPr>
          <w:p w14:paraId="500A146A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2DBE024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6D6AF01A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1F847390" w14:textId="77777777">
        <w:tc>
          <w:tcPr>
            <w:tcW w:w="640" w:type="dxa"/>
            <w:vMerge/>
          </w:tcPr>
          <w:p w14:paraId="5E5933E1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F2834F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4,75</w:t>
            </w:r>
          </w:p>
        </w:tc>
        <w:tc>
          <w:tcPr>
            <w:tcW w:w="976" w:type="dxa"/>
          </w:tcPr>
          <w:p w14:paraId="6485266C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76" w:type="dxa"/>
            <w:vMerge/>
          </w:tcPr>
          <w:p w14:paraId="631FE1A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920135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3E92C46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1D69907F" w14:textId="77777777">
        <w:tc>
          <w:tcPr>
            <w:tcW w:w="640" w:type="dxa"/>
            <w:vMerge/>
          </w:tcPr>
          <w:p w14:paraId="3752293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604DF6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976" w:type="dxa"/>
          </w:tcPr>
          <w:p w14:paraId="63FB4EE1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76" w:type="dxa"/>
            <w:vMerge/>
          </w:tcPr>
          <w:p w14:paraId="3B0DED1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204EA0D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037E3FF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8E07CFE" w14:textId="77777777">
        <w:tc>
          <w:tcPr>
            <w:tcW w:w="640" w:type="dxa"/>
            <w:vMerge/>
          </w:tcPr>
          <w:p w14:paraId="75D92BD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773601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  <w:tc>
          <w:tcPr>
            <w:tcW w:w="976" w:type="dxa"/>
          </w:tcPr>
          <w:p w14:paraId="103A712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76" w:type="dxa"/>
            <w:vMerge/>
          </w:tcPr>
          <w:p w14:paraId="2D12D4D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467CB58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394D631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57B4725B" w14:textId="77777777">
        <w:tc>
          <w:tcPr>
            <w:tcW w:w="640" w:type="dxa"/>
            <w:vMerge/>
          </w:tcPr>
          <w:p w14:paraId="0728093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5F6873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976" w:type="dxa"/>
          </w:tcPr>
          <w:p w14:paraId="7DAEACC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76" w:type="dxa"/>
            <w:vMerge/>
          </w:tcPr>
          <w:p w14:paraId="312695E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0506E8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18AD9ED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0F502759" w14:textId="77777777">
        <w:tc>
          <w:tcPr>
            <w:tcW w:w="640" w:type="dxa"/>
            <w:vMerge/>
          </w:tcPr>
          <w:p w14:paraId="4093E061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413C27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976" w:type="dxa"/>
          </w:tcPr>
          <w:p w14:paraId="0518A8F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76" w:type="dxa"/>
            <w:vMerge/>
          </w:tcPr>
          <w:p w14:paraId="1E172C7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A11295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F6CE31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3E873E7B" w14:textId="77777777">
        <w:tc>
          <w:tcPr>
            <w:tcW w:w="640" w:type="dxa"/>
            <w:vMerge/>
          </w:tcPr>
          <w:p w14:paraId="110233E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C8E3C6D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4,51</w:t>
            </w:r>
          </w:p>
        </w:tc>
        <w:tc>
          <w:tcPr>
            <w:tcW w:w="976" w:type="dxa"/>
          </w:tcPr>
          <w:p w14:paraId="17B0DFB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76" w:type="dxa"/>
            <w:vMerge/>
          </w:tcPr>
          <w:p w14:paraId="7783393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00369C4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4A15B9D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2292769B" w14:textId="77777777">
        <w:tc>
          <w:tcPr>
            <w:tcW w:w="640" w:type="dxa"/>
            <w:vMerge w:val="restart"/>
          </w:tcPr>
          <w:p w14:paraId="6574C09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</w:p>
        </w:tc>
        <w:tc>
          <w:tcPr>
            <w:tcW w:w="1190" w:type="dxa"/>
          </w:tcPr>
          <w:p w14:paraId="4B0D146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4,01-4,50</w:t>
            </w:r>
          </w:p>
        </w:tc>
        <w:tc>
          <w:tcPr>
            <w:tcW w:w="976" w:type="dxa"/>
          </w:tcPr>
          <w:p w14:paraId="4FD4B26C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82-89</w:t>
            </w:r>
          </w:p>
        </w:tc>
        <w:tc>
          <w:tcPr>
            <w:tcW w:w="376" w:type="dxa"/>
            <w:vMerge w:val="restart"/>
          </w:tcPr>
          <w:p w14:paraId="2DCDAE8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192" w:type="dxa"/>
            <w:vMerge w:val="restart"/>
          </w:tcPr>
          <w:p w14:paraId="46AC597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Добре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(ПРН).</w:t>
            </w:r>
          </w:p>
        </w:tc>
        <w:tc>
          <w:tcPr>
            <w:tcW w:w="4767" w:type="dxa"/>
            <w:vMerge w:val="restart"/>
          </w:tcPr>
          <w:p w14:paraId="5CF0F27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міжпредметні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Переважає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трьома-чотирма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DB3" w14:paraId="78089140" w14:textId="77777777">
        <w:tc>
          <w:tcPr>
            <w:tcW w:w="640" w:type="dxa"/>
            <w:vMerge/>
          </w:tcPr>
          <w:p w14:paraId="67DCD4B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DD8C04E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976" w:type="dxa"/>
          </w:tcPr>
          <w:p w14:paraId="1F562BAE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76" w:type="dxa"/>
            <w:vMerge/>
          </w:tcPr>
          <w:p w14:paraId="47D686A8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0BF8A9B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5D9353F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39539D60" w14:textId="77777777">
        <w:tc>
          <w:tcPr>
            <w:tcW w:w="640" w:type="dxa"/>
            <w:vMerge/>
          </w:tcPr>
          <w:p w14:paraId="7BB94DB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EE857D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4,43</w:t>
            </w:r>
          </w:p>
        </w:tc>
        <w:tc>
          <w:tcPr>
            <w:tcW w:w="976" w:type="dxa"/>
          </w:tcPr>
          <w:p w14:paraId="027F1A5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76" w:type="dxa"/>
            <w:vMerge/>
          </w:tcPr>
          <w:p w14:paraId="612254C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D1AE94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0C732B5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1473164A" w14:textId="77777777">
        <w:tc>
          <w:tcPr>
            <w:tcW w:w="640" w:type="dxa"/>
            <w:vMerge/>
          </w:tcPr>
          <w:p w14:paraId="57C938C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D93058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4,36</w:t>
            </w:r>
          </w:p>
        </w:tc>
        <w:tc>
          <w:tcPr>
            <w:tcW w:w="976" w:type="dxa"/>
          </w:tcPr>
          <w:p w14:paraId="6C47D57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76" w:type="dxa"/>
            <w:vMerge/>
          </w:tcPr>
          <w:p w14:paraId="1AD55D1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06614F58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5E2D8C7A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199DCF7E" w14:textId="77777777">
        <w:tc>
          <w:tcPr>
            <w:tcW w:w="640" w:type="dxa"/>
            <w:vMerge/>
          </w:tcPr>
          <w:p w14:paraId="1E2AD2E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BEA90D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4,29</w:t>
            </w:r>
          </w:p>
        </w:tc>
        <w:tc>
          <w:tcPr>
            <w:tcW w:w="976" w:type="dxa"/>
          </w:tcPr>
          <w:p w14:paraId="20C41BB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76" w:type="dxa"/>
            <w:vMerge/>
          </w:tcPr>
          <w:p w14:paraId="1E67322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7FB449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D82AFC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63F21EC" w14:textId="77777777">
        <w:tc>
          <w:tcPr>
            <w:tcW w:w="640" w:type="dxa"/>
            <w:vMerge/>
          </w:tcPr>
          <w:p w14:paraId="562DCDC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63CC75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4,22</w:t>
            </w:r>
          </w:p>
        </w:tc>
        <w:tc>
          <w:tcPr>
            <w:tcW w:w="976" w:type="dxa"/>
          </w:tcPr>
          <w:p w14:paraId="54B8A30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76" w:type="dxa"/>
            <w:vMerge/>
          </w:tcPr>
          <w:p w14:paraId="4A5353D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9C4CC4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0DDCAF5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10A02180" w14:textId="77777777">
        <w:tc>
          <w:tcPr>
            <w:tcW w:w="640" w:type="dxa"/>
            <w:vMerge/>
          </w:tcPr>
          <w:p w14:paraId="1F0556F8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AE621B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4,15</w:t>
            </w:r>
          </w:p>
        </w:tc>
        <w:tc>
          <w:tcPr>
            <w:tcW w:w="976" w:type="dxa"/>
          </w:tcPr>
          <w:p w14:paraId="59A8371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76" w:type="dxa"/>
            <w:vMerge/>
          </w:tcPr>
          <w:p w14:paraId="2556E78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11FD861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460D8B2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4786FD7D" w14:textId="77777777">
        <w:tc>
          <w:tcPr>
            <w:tcW w:w="640" w:type="dxa"/>
            <w:vMerge/>
          </w:tcPr>
          <w:p w14:paraId="6A31E62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757E214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4,08</w:t>
            </w:r>
          </w:p>
        </w:tc>
        <w:tc>
          <w:tcPr>
            <w:tcW w:w="976" w:type="dxa"/>
          </w:tcPr>
          <w:p w14:paraId="2188E6A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376" w:type="dxa"/>
            <w:vMerge/>
          </w:tcPr>
          <w:p w14:paraId="1C05F9F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2C52B23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B8C117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5DDAA0AC" w14:textId="77777777">
        <w:tc>
          <w:tcPr>
            <w:tcW w:w="640" w:type="dxa"/>
            <w:vMerge/>
          </w:tcPr>
          <w:p w14:paraId="20B7769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94DFC1D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4,01</w:t>
            </w:r>
          </w:p>
        </w:tc>
        <w:tc>
          <w:tcPr>
            <w:tcW w:w="976" w:type="dxa"/>
          </w:tcPr>
          <w:p w14:paraId="7FCDBC4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76" w:type="dxa"/>
            <w:vMerge/>
          </w:tcPr>
          <w:p w14:paraId="12BCBE2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6DD8517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1EB9ED8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35CD8524" w14:textId="77777777">
        <w:tc>
          <w:tcPr>
            <w:tcW w:w="640" w:type="dxa"/>
            <w:vMerge w:val="restart"/>
          </w:tcPr>
          <w:p w14:paraId="2752C2A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</w:p>
        </w:tc>
        <w:tc>
          <w:tcPr>
            <w:tcW w:w="1190" w:type="dxa"/>
          </w:tcPr>
          <w:p w14:paraId="2D021DD1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3,50-4,00</w:t>
            </w:r>
          </w:p>
        </w:tc>
        <w:tc>
          <w:tcPr>
            <w:tcW w:w="976" w:type="dxa"/>
          </w:tcPr>
          <w:p w14:paraId="453EA7A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74-81</w:t>
            </w:r>
          </w:p>
        </w:tc>
        <w:tc>
          <w:tcPr>
            <w:tcW w:w="376" w:type="dxa"/>
            <w:vMerge w:val="restart"/>
          </w:tcPr>
          <w:p w14:paraId="0FB28B8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192" w:type="dxa"/>
            <w:vMerge w:val="restart"/>
          </w:tcPr>
          <w:p w14:paraId="4F9ECBE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Добре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середньо-достатній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(ПРН).</w:t>
            </w:r>
          </w:p>
        </w:tc>
        <w:tc>
          <w:tcPr>
            <w:tcW w:w="4767" w:type="dxa"/>
            <w:vMerge w:val="restart"/>
          </w:tcPr>
          <w:p w14:paraId="1A010FF2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міжпредметні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Переважає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трьома-чотирма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DB3" w14:paraId="0A7AE929" w14:textId="77777777">
        <w:tc>
          <w:tcPr>
            <w:tcW w:w="640" w:type="dxa"/>
            <w:vMerge/>
          </w:tcPr>
          <w:p w14:paraId="287981D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876945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976" w:type="dxa"/>
          </w:tcPr>
          <w:p w14:paraId="582647F1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76" w:type="dxa"/>
            <w:vMerge/>
          </w:tcPr>
          <w:p w14:paraId="4FA2BD1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13C312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6D37A32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08210293" w14:textId="77777777">
        <w:tc>
          <w:tcPr>
            <w:tcW w:w="640" w:type="dxa"/>
            <w:vMerge/>
          </w:tcPr>
          <w:p w14:paraId="284F833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D69AD1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3,90</w:t>
            </w:r>
          </w:p>
        </w:tc>
        <w:tc>
          <w:tcPr>
            <w:tcW w:w="976" w:type="dxa"/>
          </w:tcPr>
          <w:p w14:paraId="2A2262F0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76" w:type="dxa"/>
            <w:vMerge/>
          </w:tcPr>
          <w:p w14:paraId="043A564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4D0C810A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3BF2CA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13ACC9D5" w14:textId="77777777">
        <w:tc>
          <w:tcPr>
            <w:tcW w:w="640" w:type="dxa"/>
            <w:vMerge/>
          </w:tcPr>
          <w:p w14:paraId="756C774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D28A945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3,84</w:t>
            </w:r>
          </w:p>
        </w:tc>
        <w:tc>
          <w:tcPr>
            <w:tcW w:w="976" w:type="dxa"/>
          </w:tcPr>
          <w:p w14:paraId="7BF2AB2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76" w:type="dxa"/>
            <w:vMerge/>
          </w:tcPr>
          <w:p w14:paraId="279E123A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62E012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5DEE227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50405EC8" w14:textId="77777777">
        <w:tc>
          <w:tcPr>
            <w:tcW w:w="640" w:type="dxa"/>
            <w:vMerge/>
          </w:tcPr>
          <w:p w14:paraId="66C7B65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6ABDA4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3,76</w:t>
            </w:r>
          </w:p>
        </w:tc>
        <w:tc>
          <w:tcPr>
            <w:tcW w:w="976" w:type="dxa"/>
          </w:tcPr>
          <w:p w14:paraId="59E20DD1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76" w:type="dxa"/>
            <w:vMerge/>
          </w:tcPr>
          <w:p w14:paraId="5038E8F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24DFDA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50808A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7F321D3" w14:textId="77777777">
        <w:tc>
          <w:tcPr>
            <w:tcW w:w="640" w:type="dxa"/>
            <w:vMerge/>
          </w:tcPr>
          <w:p w14:paraId="50810B6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19E513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976" w:type="dxa"/>
          </w:tcPr>
          <w:p w14:paraId="319EA80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76" w:type="dxa"/>
            <w:vMerge/>
          </w:tcPr>
          <w:p w14:paraId="2EA1412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B4E53D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06F45F2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38330FA0" w14:textId="77777777">
        <w:tc>
          <w:tcPr>
            <w:tcW w:w="640" w:type="dxa"/>
            <w:vMerge/>
          </w:tcPr>
          <w:p w14:paraId="75658081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1FFC16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3,59</w:t>
            </w:r>
          </w:p>
        </w:tc>
        <w:tc>
          <w:tcPr>
            <w:tcW w:w="976" w:type="dxa"/>
          </w:tcPr>
          <w:p w14:paraId="5BACA0CE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76" w:type="dxa"/>
            <w:vMerge/>
          </w:tcPr>
          <w:p w14:paraId="08A1E4B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45D101B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E3AFE1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7F156B23" w14:textId="77777777">
        <w:tc>
          <w:tcPr>
            <w:tcW w:w="640" w:type="dxa"/>
            <w:vMerge/>
          </w:tcPr>
          <w:p w14:paraId="19EB416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1398CF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3,51</w:t>
            </w:r>
          </w:p>
        </w:tc>
        <w:tc>
          <w:tcPr>
            <w:tcW w:w="976" w:type="dxa"/>
          </w:tcPr>
          <w:p w14:paraId="47E203E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76" w:type="dxa"/>
            <w:vMerge/>
          </w:tcPr>
          <w:p w14:paraId="44BC677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0ADB3DE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17E31E7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0C98E978" w14:textId="77777777">
        <w:tc>
          <w:tcPr>
            <w:tcW w:w="640" w:type="dxa"/>
            <w:vMerge/>
          </w:tcPr>
          <w:p w14:paraId="73BC13B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14DA3B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976" w:type="dxa"/>
          </w:tcPr>
          <w:p w14:paraId="6A8E2833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76" w:type="dxa"/>
            <w:vMerge/>
          </w:tcPr>
          <w:p w14:paraId="6AA9175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3F2987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3CCFD7D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495A0DC9" w14:textId="77777777">
        <w:tc>
          <w:tcPr>
            <w:tcW w:w="640" w:type="dxa"/>
            <w:vMerge w:val="restart"/>
          </w:tcPr>
          <w:p w14:paraId="61414C3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1190" w:type="dxa"/>
          </w:tcPr>
          <w:p w14:paraId="211535C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2,83-3,43</w:t>
            </w:r>
          </w:p>
        </w:tc>
        <w:tc>
          <w:tcPr>
            <w:tcW w:w="976" w:type="dxa"/>
          </w:tcPr>
          <w:p w14:paraId="45BD6A7D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64-73</w:t>
            </w:r>
          </w:p>
        </w:tc>
        <w:tc>
          <w:tcPr>
            <w:tcW w:w="376" w:type="dxa"/>
            <w:vMerge w:val="restart"/>
          </w:tcPr>
          <w:p w14:paraId="0EAB0AAA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192" w:type="dxa"/>
            <w:vMerge w:val="restart"/>
          </w:tcPr>
          <w:p w14:paraId="52C4D9A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(ПРН).</w:t>
            </w:r>
          </w:p>
        </w:tc>
        <w:tc>
          <w:tcPr>
            <w:tcW w:w="4767" w:type="dxa"/>
            <w:vMerge w:val="restart"/>
          </w:tcPr>
          <w:p w14:paraId="64DE907E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Домінує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труднощі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домінуванням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домінуючих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істотними</w:t>
            </w:r>
            <w:proofErr w:type="spellEnd"/>
          </w:p>
        </w:tc>
      </w:tr>
      <w:tr w:rsidR="00D86DB3" w14:paraId="1C320AEE" w14:textId="77777777">
        <w:tc>
          <w:tcPr>
            <w:tcW w:w="640" w:type="dxa"/>
            <w:vMerge/>
          </w:tcPr>
          <w:p w14:paraId="1ECFB3F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13792F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976" w:type="dxa"/>
          </w:tcPr>
          <w:p w14:paraId="6C0E338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76" w:type="dxa"/>
            <w:vMerge/>
          </w:tcPr>
          <w:p w14:paraId="77DC5A9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B8B95A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14F87F2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824F741" w14:textId="77777777">
        <w:tc>
          <w:tcPr>
            <w:tcW w:w="640" w:type="dxa"/>
            <w:vMerge/>
          </w:tcPr>
          <w:p w14:paraId="46D9FC31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3ACB254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3,36</w:t>
            </w:r>
          </w:p>
        </w:tc>
        <w:tc>
          <w:tcPr>
            <w:tcW w:w="976" w:type="dxa"/>
          </w:tcPr>
          <w:p w14:paraId="034201C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76" w:type="dxa"/>
            <w:vMerge/>
          </w:tcPr>
          <w:p w14:paraId="164B112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8DDC13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4E492BD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0F231760" w14:textId="77777777">
        <w:tc>
          <w:tcPr>
            <w:tcW w:w="640" w:type="dxa"/>
            <w:vMerge/>
          </w:tcPr>
          <w:p w14:paraId="6D2E725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9E686B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3,29</w:t>
            </w:r>
          </w:p>
        </w:tc>
        <w:tc>
          <w:tcPr>
            <w:tcW w:w="976" w:type="dxa"/>
          </w:tcPr>
          <w:p w14:paraId="0BCB2361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76" w:type="dxa"/>
            <w:vMerge/>
          </w:tcPr>
          <w:p w14:paraId="0B18EE3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678AE98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6ECED08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F9AA4E0" w14:textId="77777777">
        <w:tc>
          <w:tcPr>
            <w:tcW w:w="640" w:type="dxa"/>
            <w:vMerge/>
          </w:tcPr>
          <w:p w14:paraId="50447E3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EABC51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3,22</w:t>
            </w:r>
          </w:p>
        </w:tc>
        <w:tc>
          <w:tcPr>
            <w:tcW w:w="976" w:type="dxa"/>
          </w:tcPr>
          <w:p w14:paraId="4EB623B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76" w:type="dxa"/>
            <w:vMerge/>
          </w:tcPr>
          <w:p w14:paraId="3C85A54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6E23A28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681E5B1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1DE1B9FA" w14:textId="77777777">
        <w:tc>
          <w:tcPr>
            <w:tcW w:w="640" w:type="dxa"/>
            <w:vMerge/>
          </w:tcPr>
          <w:p w14:paraId="1AB425C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0C1B1034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3,15</w:t>
            </w:r>
          </w:p>
        </w:tc>
        <w:tc>
          <w:tcPr>
            <w:tcW w:w="976" w:type="dxa"/>
          </w:tcPr>
          <w:p w14:paraId="05494F7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76" w:type="dxa"/>
            <w:vMerge/>
          </w:tcPr>
          <w:p w14:paraId="687B5BE1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F80AF0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66C7E67A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0155C4B3" w14:textId="77777777">
        <w:tc>
          <w:tcPr>
            <w:tcW w:w="640" w:type="dxa"/>
            <w:vMerge/>
          </w:tcPr>
          <w:p w14:paraId="77A8759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14B551B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3,07</w:t>
            </w:r>
          </w:p>
        </w:tc>
        <w:tc>
          <w:tcPr>
            <w:tcW w:w="976" w:type="dxa"/>
          </w:tcPr>
          <w:p w14:paraId="0B0DBEF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76" w:type="dxa"/>
            <w:vMerge/>
          </w:tcPr>
          <w:p w14:paraId="2963D48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75DC63B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22E9E07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566B5D25" w14:textId="77777777">
        <w:tc>
          <w:tcPr>
            <w:tcW w:w="640" w:type="dxa"/>
            <w:vMerge/>
          </w:tcPr>
          <w:p w14:paraId="5267BDB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70E652F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3,01</w:t>
            </w:r>
          </w:p>
        </w:tc>
        <w:tc>
          <w:tcPr>
            <w:tcW w:w="976" w:type="dxa"/>
          </w:tcPr>
          <w:p w14:paraId="4F0A0DEC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76" w:type="dxa"/>
            <w:vMerge/>
          </w:tcPr>
          <w:p w14:paraId="4FC4ED2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0C9CF06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6917F05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42606CA2" w14:textId="77777777">
        <w:tc>
          <w:tcPr>
            <w:tcW w:w="640" w:type="dxa"/>
            <w:vMerge/>
          </w:tcPr>
          <w:p w14:paraId="6FE128B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2BE49B6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976" w:type="dxa"/>
          </w:tcPr>
          <w:p w14:paraId="7C2A6F7E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76" w:type="dxa"/>
            <w:vMerge/>
          </w:tcPr>
          <w:p w14:paraId="03043401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534BCE5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1E37165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0FFEC6A4" w14:textId="77777777">
        <w:tc>
          <w:tcPr>
            <w:tcW w:w="640" w:type="dxa"/>
            <w:vMerge/>
          </w:tcPr>
          <w:p w14:paraId="08344DB5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5995DDD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  <w:tc>
          <w:tcPr>
            <w:tcW w:w="976" w:type="dxa"/>
          </w:tcPr>
          <w:p w14:paraId="656C46B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76" w:type="dxa"/>
            <w:vMerge/>
          </w:tcPr>
          <w:p w14:paraId="05E1AA8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D56F06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4B517B9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23C98AAB" w14:textId="77777777">
        <w:tc>
          <w:tcPr>
            <w:tcW w:w="640" w:type="dxa"/>
            <w:vMerge/>
          </w:tcPr>
          <w:p w14:paraId="3C174E4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6523E02C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2,83</w:t>
            </w:r>
          </w:p>
        </w:tc>
        <w:tc>
          <w:tcPr>
            <w:tcW w:w="976" w:type="dxa"/>
          </w:tcPr>
          <w:p w14:paraId="2C5BF005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76" w:type="dxa"/>
            <w:vMerge/>
          </w:tcPr>
          <w:p w14:paraId="5E13C934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81AC47B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75F06E6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6371E293" w14:textId="77777777">
        <w:tc>
          <w:tcPr>
            <w:tcW w:w="640" w:type="dxa"/>
            <w:vMerge w:val="restart"/>
          </w:tcPr>
          <w:p w14:paraId="05D97CC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1190" w:type="dxa"/>
          </w:tcPr>
          <w:p w14:paraId="039533D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2,51-2,75</w:t>
            </w:r>
          </w:p>
        </w:tc>
        <w:tc>
          <w:tcPr>
            <w:tcW w:w="976" w:type="dxa"/>
          </w:tcPr>
          <w:p w14:paraId="0DF28C83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60-63</w:t>
            </w:r>
          </w:p>
        </w:tc>
        <w:tc>
          <w:tcPr>
            <w:tcW w:w="376" w:type="dxa"/>
            <w:vMerge w:val="restart"/>
          </w:tcPr>
          <w:p w14:paraId="2D05230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192" w:type="dxa"/>
            <w:vMerge w:val="restart"/>
          </w:tcPr>
          <w:p w14:paraId="391EA308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(ПРН).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6146AA" w14:textId="77777777" w:rsidR="00D86DB3" w:rsidRDefault="00D8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 w:val="restart"/>
          </w:tcPr>
          <w:p w14:paraId="19E0E304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Домінує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труднощі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задовольняє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масиву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86DB3" w14:paraId="221347AF" w14:textId="77777777">
        <w:tc>
          <w:tcPr>
            <w:tcW w:w="640" w:type="dxa"/>
            <w:vMerge/>
          </w:tcPr>
          <w:p w14:paraId="230DFE3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ADF4605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2,75</w:t>
            </w:r>
          </w:p>
        </w:tc>
        <w:tc>
          <w:tcPr>
            <w:tcW w:w="976" w:type="dxa"/>
          </w:tcPr>
          <w:p w14:paraId="128E222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76" w:type="dxa"/>
            <w:vMerge/>
          </w:tcPr>
          <w:p w14:paraId="71C21BFE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EB8E4F2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5633F38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2C8211D3" w14:textId="77777777">
        <w:tc>
          <w:tcPr>
            <w:tcW w:w="640" w:type="dxa"/>
            <w:vMerge/>
          </w:tcPr>
          <w:p w14:paraId="58B1C7C9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74A413D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976" w:type="dxa"/>
          </w:tcPr>
          <w:p w14:paraId="36B5851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76" w:type="dxa"/>
            <w:vMerge/>
          </w:tcPr>
          <w:p w14:paraId="6CC0C66F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A8977C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46C5C778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7A313F60" w14:textId="77777777">
        <w:tc>
          <w:tcPr>
            <w:tcW w:w="640" w:type="dxa"/>
            <w:vMerge/>
          </w:tcPr>
          <w:p w14:paraId="14F28D38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38204E59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2,59</w:t>
            </w:r>
          </w:p>
        </w:tc>
        <w:tc>
          <w:tcPr>
            <w:tcW w:w="976" w:type="dxa"/>
          </w:tcPr>
          <w:p w14:paraId="4A6A7E3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76" w:type="dxa"/>
            <w:vMerge/>
          </w:tcPr>
          <w:p w14:paraId="7279655D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3632890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4BBF050A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400FB8C9" w14:textId="77777777">
        <w:tc>
          <w:tcPr>
            <w:tcW w:w="640" w:type="dxa"/>
            <w:vMerge/>
          </w:tcPr>
          <w:p w14:paraId="4E59318C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</w:tcPr>
          <w:p w14:paraId="4ECEA272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2,51</w:t>
            </w:r>
          </w:p>
        </w:tc>
        <w:tc>
          <w:tcPr>
            <w:tcW w:w="976" w:type="dxa"/>
          </w:tcPr>
          <w:p w14:paraId="683AE067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76" w:type="dxa"/>
            <w:vMerge/>
          </w:tcPr>
          <w:p w14:paraId="35BFCC53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</w:tcPr>
          <w:p w14:paraId="1A0E5E20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  <w:vMerge/>
          </w:tcPr>
          <w:p w14:paraId="343DC087" w14:textId="77777777" w:rsidR="00D86DB3" w:rsidRDefault="00D86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6DB3" w14:paraId="441BB85F" w14:textId="77777777">
        <w:tc>
          <w:tcPr>
            <w:tcW w:w="640" w:type="dxa"/>
          </w:tcPr>
          <w:p w14:paraId="3630C44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FX</w:t>
            </w:r>
          </w:p>
        </w:tc>
        <w:tc>
          <w:tcPr>
            <w:tcW w:w="1190" w:type="dxa"/>
          </w:tcPr>
          <w:p w14:paraId="07E66F53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2,00-2,5</w:t>
            </w:r>
          </w:p>
        </w:tc>
        <w:tc>
          <w:tcPr>
            <w:tcW w:w="976" w:type="dxa"/>
          </w:tcPr>
          <w:p w14:paraId="2E4977F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35-59</w:t>
            </w:r>
          </w:p>
        </w:tc>
        <w:tc>
          <w:tcPr>
            <w:tcW w:w="376" w:type="dxa"/>
          </w:tcPr>
          <w:p w14:paraId="538C8DD5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192" w:type="dxa"/>
          </w:tcPr>
          <w:p w14:paraId="522A0051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7" w:type="dxa"/>
          </w:tcPr>
          <w:p w14:paraId="305AF86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інструктивними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винесені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звертаючись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F813C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осмислити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набуті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межах 50 %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репродуктивного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множинного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Студент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(ПРН).</w:t>
            </w:r>
          </w:p>
        </w:tc>
      </w:tr>
      <w:tr w:rsidR="00D86DB3" w14:paraId="3018448C" w14:textId="77777777">
        <w:tc>
          <w:tcPr>
            <w:tcW w:w="640" w:type="dxa"/>
          </w:tcPr>
          <w:p w14:paraId="767CF0BF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190" w:type="dxa"/>
          </w:tcPr>
          <w:p w14:paraId="322CC03B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0,00-1,99</w:t>
            </w:r>
          </w:p>
        </w:tc>
        <w:tc>
          <w:tcPr>
            <w:tcW w:w="976" w:type="dxa"/>
          </w:tcPr>
          <w:p w14:paraId="79D76030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1-34</w:t>
            </w:r>
          </w:p>
        </w:tc>
        <w:tc>
          <w:tcPr>
            <w:tcW w:w="376" w:type="dxa"/>
          </w:tcPr>
          <w:p w14:paraId="5691F996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3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192" w:type="dxa"/>
          </w:tcPr>
          <w:p w14:paraId="3920DBEA" w14:textId="77777777" w:rsidR="00D86D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-57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A1737A" w14:textId="77777777" w:rsidR="00D86DB3" w:rsidRDefault="00D8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</w:tcPr>
          <w:p w14:paraId="18D7F680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роботу.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осмислити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репродуктивного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множинного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Студент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(ПРН),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сформовано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E0A839B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7957E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курсу:</w:t>
      </w:r>
    </w:p>
    <w:p w14:paraId="74DEE7D9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засадах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доброчесності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71714F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Інформаційне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</w:p>
    <w:p w14:paraId="6914B8BE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РЕКОМЕНДОВАНА ЛІТЕРАТУРА</w:t>
      </w:r>
    </w:p>
    <w:p w14:paraId="5B003115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Основна</w:t>
      </w:r>
      <w:proofErr w:type="spellEnd"/>
    </w:p>
    <w:p w14:paraId="3167C739" w14:textId="77777777" w:rsidR="00D86D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Гринберг Дж. Управление стрессом. Санкт-Петербург: Питер, 2002.496 с.</w:t>
      </w:r>
    </w:p>
    <w:p w14:paraId="7552B251" w14:textId="77777777" w:rsidR="00D86D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повсякденного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розв'язання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кризових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життєвих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сім'ї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Кляпець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Б.П. Лазоренко,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Лєпіхова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Савінов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за ред. Т.М. Титаренко.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Міленіум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2009. 120 с. </w:t>
      </w:r>
    </w:p>
    <w:p w14:paraId="008FBAC0" w14:textId="77777777" w:rsidR="00D86D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Посттравматичні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Психолог.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2015. №4.  С. 2-176</w:t>
      </w:r>
    </w:p>
    <w:p w14:paraId="24FC0BD4" w14:textId="77777777" w:rsidR="00D86D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Профілактика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[Текст] : метод. рек.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СумДПУ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А.С. Макаренка, 2007. 48 с.</w:t>
      </w:r>
    </w:p>
    <w:p w14:paraId="745E80B5" w14:textId="77777777" w:rsidR="00D86D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Сапольски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зебри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виразку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Фабула, 2020. 400 с.</w:t>
      </w:r>
    </w:p>
    <w:p w14:paraId="687C8A0A" w14:textId="77777777" w:rsidR="00D86D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Соціально-психологічна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профілактика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повсякденного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метод. рек. / за наук. ред. Т. М. Титаренко.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Міленіум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2010. 84 с.</w:t>
      </w:r>
    </w:p>
    <w:p w14:paraId="0CC8819F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Додаткова</w:t>
      </w:r>
      <w:proofErr w:type="spellEnd"/>
    </w:p>
    <w:p w14:paraId="03215807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Апчел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В.Я., Цыган В.Н. Стресс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стрессустойчивость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 Санкт-Петербург: 1999. 86 с.</w:t>
      </w:r>
    </w:p>
    <w:p w14:paraId="313ABEEA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Брайт Д., Джонс Ф. Стресс. Теории, исследования, мифы. Санкт-Петербург: Прайм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Еврознак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 252 с.</w:t>
      </w:r>
    </w:p>
    <w:p w14:paraId="35BADD98" w14:textId="77777777" w:rsidR="00D86D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Дэвис М., Маккей М., Роббинс-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Эшельман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Релаксация и снятие стресса. Рабочая тетрадь. Санкт-Петербург: Весь, 2019. 212 с.</w:t>
      </w:r>
    </w:p>
    <w:p w14:paraId="5CD3DEBE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Каменюкин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А.Г., Ковпак Д.В. Антистресс-тренинг. 2-е изд. Санкт-Петербург: Питер, 2008. 224 с.</w:t>
      </w:r>
    </w:p>
    <w:p w14:paraId="471506A6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Купер К., Дэйв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О'Драйсколл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Организационный стресс. Теории, исследования и практическое применение. Москва. Гуманитарный центр, 2007. 336 с.</w:t>
      </w:r>
    </w:p>
    <w:p w14:paraId="0CACF02A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Монина Г. Б.,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 Тренинг «Ресурсы стрессоустойчивости». Санкт-Петербург: Речь, 2009. 250 с.</w:t>
      </w:r>
    </w:p>
    <w:p w14:paraId="61863746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Сапольски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Психология стресса. 3-е изд. Санкт-Петербург: Питер, 2015. 480 с.</w:t>
      </w:r>
    </w:p>
    <w:p w14:paraId="75036539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Усатенко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тілесно-орієнтована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занять// Психолог.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2018. №13-14. С. 12-25</w:t>
      </w:r>
    </w:p>
    <w:p w14:paraId="1E4F3205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Щербатых Ю. В. Психология стресса и методы коррекции. Санкт-Петербург: Питер, 2006. 256 с.</w:t>
      </w:r>
    </w:p>
    <w:p w14:paraId="5F3EBC76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Эверли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Розенфельд Р. Стресс. Природа и лечение. Москва: Медицина, 1985. 224 с.</w:t>
      </w:r>
    </w:p>
    <w:p w14:paraId="04D0E21F" w14:textId="77777777" w:rsidR="00D86DB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Психоемоції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м'язова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спокою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розслаблення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м'язів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рук// Психолог.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2019. №8.  С. 90-95.</w:t>
      </w:r>
    </w:p>
    <w:p w14:paraId="5C7F7E46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забезпеченості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літературою</w:t>
      </w:r>
      <w:proofErr w:type="spellEnd"/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753"/>
        <w:gridCol w:w="3226"/>
      </w:tblGrid>
      <w:tr w:rsidR="00D86DB3" w14:paraId="566C94D3" w14:textId="77777777">
        <w:tc>
          <w:tcPr>
            <w:tcW w:w="592" w:type="dxa"/>
          </w:tcPr>
          <w:p w14:paraId="221C3A6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53" w:type="dxa"/>
          </w:tcPr>
          <w:p w14:paraId="2FF9DF6F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3226" w:type="dxa"/>
          </w:tcPr>
          <w:p w14:paraId="1FFD6085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примірників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бібліотеці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ВНЗ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кафедри</w:t>
            </w:r>
            <w:proofErr w:type="spellEnd"/>
          </w:p>
        </w:tc>
      </w:tr>
      <w:tr w:rsidR="00D86DB3" w14:paraId="1198A228" w14:textId="77777777">
        <w:tc>
          <w:tcPr>
            <w:tcW w:w="592" w:type="dxa"/>
          </w:tcPr>
          <w:p w14:paraId="1E963992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753" w:type="dxa"/>
          </w:tcPr>
          <w:p w14:paraId="042B647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повсякденного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розв'язання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життєвих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 у справах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сім'ї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О.Я.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Кляпець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Б.П. Лазоренко,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Лєпіхова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Савінов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за ред. Т.М. Титаренко.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Міленіум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2009. 120 с.</w:t>
            </w:r>
          </w:p>
        </w:tc>
        <w:tc>
          <w:tcPr>
            <w:tcW w:w="3226" w:type="dxa"/>
          </w:tcPr>
          <w:p w14:paraId="0FBAF012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86DB3" w14:paraId="368AADBE" w14:textId="77777777">
        <w:tc>
          <w:tcPr>
            <w:tcW w:w="592" w:type="dxa"/>
          </w:tcPr>
          <w:p w14:paraId="2791942D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14:paraId="16EE4C4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Посттравматичні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Психолог.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2015. №4.  С. 2-176</w:t>
            </w:r>
          </w:p>
        </w:tc>
        <w:tc>
          <w:tcPr>
            <w:tcW w:w="3226" w:type="dxa"/>
          </w:tcPr>
          <w:p w14:paraId="4EF20A87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DB3" w14:paraId="4BC1F3A7" w14:textId="77777777">
        <w:trPr>
          <w:trHeight w:val="987"/>
        </w:trPr>
        <w:tc>
          <w:tcPr>
            <w:tcW w:w="592" w:type="dxa"/>
          </w:tcPr>
          <w:p w14:paraId="01381D8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14:paraId="60D287A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[Текст] : метод. рек.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СумДПУ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А.С. Макаренка, 2007. 48 с.</w:t>
            </w:r>
          </w:p>
        </w:tc>
        <w:tc>
          <w:tcPr>
            <w:tcW w:w="3226" w:type="dxa"/>
          </w:tcPr>
          <w:p w14:paraId="07AB254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86DB3" w14:paraId="1203ACAE" w14:textId="77777777">
        <w:tc>
          <w:tcPr>
            <w:tcW w:w="592" w:type="dxa"/>
          </w:tcPr>
          <w:p w14:paraId="6AAD25DB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753" w:type="dxa"/>
          </w:tcPr>
          <w:p w14:paraId="0F923ABF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повсякденного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метод. рек. / за наук. ред. Т. М. Титаренко.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Міленіум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2010. 84 с.</w:t>
            </w:r>
          </w:p>
        </w:tc>
        <w:tc>
          <w:tcPr>
            <w:tcW w:w="3226" w:type="dxa"/>
          </w:tcPr>
          <w:p w14:paraId="77E47259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DB3" w14:paraId="2F954D3E" w14:textId="77777777">
        <w:tc>
          <w:tcPr>
            <w:tcW w:w="592" w:type="dxa"/>
          </w:tcPr>
          <w:p w14:paraId="32045BDD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14:paraId="6C450027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тілесно-орієнтована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занять// Психолог.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2018. №13-14. С. 12-25</w:t>
            </w:r>
          </w:p>
        </w:tc>
        <w:tc>
          <w:tcPr>
            <w:tcW w:w="3226" w:type="dxa"/>
          </w:tcPr>
          <w:p w14:paraId="2E23D453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DB3" w14:paraId="5811C360" w14:textId="77777777">
        <w:tc>
          <w:tcPr>
            <w:tcW w:w="592" w:type="dxa"/>
          </w:tcPr>
          <w:p w14:paraId="0DC11C3E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14:paraId="44652C66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Психоемоції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спокою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розслаблення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м'язів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рук// Психолог.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2019. №8.  С. 90-95</w:t>
            </w:r>
          </w:p>
        </w:tc>
        <w:tc>
          <w:tcPr>
            <w:tcW w:w="3226" w:type="dxa"/>
          </w:tcPr>
          <w:p w14:paraId="78650F88" w14:textId="77777777" w:rsidR="00D86D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C81142A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EEF6460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EA9DE8" w14:textId="77777777" w:rsidR="00D86DB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ІНФОРМАЦІЙНІ РЕСУРСИ</w:t>
      </w:r>
    </w:p>
    <w:p w14:paraId="43B87764" w14:textId="77777777" w:rsidR="00D86D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URL: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 http://zakon3.rada.gov.ua/laws/show/2145-19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06.02.2019). </w:t>
      </w:r>
    </w:p>
    <w:p w14:paraId="16C91451" w14:textId="77777777" w:rsidR="00D86D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https://www.journals.elsevier.com/acta-psychologica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доступом (англ. мовою)</w:t>
      </w:r>
    </w:p>
    <w:p w14:paraId="3B1D3653" w14:textId="77777777" w:rsidR="00D86D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http://www.library.univ.kiev.ua/ukr/fonds/univmag/poshuk.php3?them_key=%D3%EA%F0%E0%BF%ED%F1%FC%EA%E8%E9+%EF%F1%E8%F5%EE%EB%EE%E3%B3%F7%ED%E8%E9+%E6%F3%F0%ED%E0%EB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Київського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Тараса Шевченка)</w:t>
      </w:r>
    </w:p>
    <w:p w14:paraId="6AB9F241" w14:textId="77777777" w:rsidR="00D86D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http://www.appsychology.org.ua/index.php/ua/arkhiv-vydannia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Збірник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Інституту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Г.С.Костюка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</w:p>
    <w:p w14:paraId="7A8F9B39" w14:textId="77777777" w:rsidR="00D86D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http://psylib.kiev.ua/ 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бібліотека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7242E452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E1F7E" w14:textId="77777777" w:rsidR="00D86DB3" w:rsidRDefault="00D8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86D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353"/>
    <w:multiLevelType w:val="multilevel"/>
    <w:tmpl w:val="1D189D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2431CDD"/>
    <w:multiLevelType w:val="multilevel"/>
    <w:tmpl w:val="08E0CE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506119"/>
    <w:multiLevelType w:val="multilevel"/>
    <w:tmpl w:val="B212F1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757140690">
    <w:abstractNumId w:val="0"/>
  </w:num>
  <w:num w:numId="2" w16cid:durableId="1767648886">
    <w:abstractNumId w:val="1"/>
  </w:num>
  <w:num w:numId="3" w16cid:durableId="44134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B3"/>
    <w:rsid w:val="00294C6E"/>
    <w:rsid w:val="00D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20B9"/>
  <w15:docId w15:val="{4FB14D67-A06E-4F16-A531-FED5983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sz w:val="20"/>
      <w:szCs w:val="20"/>
    </w:rPr>
  </w:style>
  <w:style w:type="paragraph" w:styleId="20">
    <w:name w:val="Body Text 2"/>
    <w:basedOn w:val="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2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5">
    <w:name w:val="Body Text"/>
    <w:basedOn w:val="a"/>
    <w:pPr>
      <w:spacing w:after="120"/>
    </w:pPr>
  </w:style>
  <w:style w:type="character" w:customStyle="1" w:styleId="a6">
    <w:name w:val="Основной текст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customStyle="1" w:styleId="ListParagraphChar">
    <w:name w:val="List Paragraph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10">
    <w:name w:val="Абзац списка1"/>
    <w:basedOn w:val="a"/>
    <w:pPr>
      <w:ind w:left="720"/>
    </w:pPr>
    <w:rPr>
      <w:lang w:eastAsia="en-US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paragraph" w:customStyle="1" w:styleId="a8">
    <w:name w:val="Обычный (веб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ListParagraph1">
    <w:name w:val="List Paragraph1"/>
    <w:basedOn w:val="a"/>
    <w:pPr>
      <w:ind w:left="720"/>
    </w:pPr>
    <w:rPr>
      <w:lang w:eastAsia="en-US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Pr>
      <w:rFonts w:ascii="Arial" w:hAnsi="Arial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acta-psychologic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1556-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psychology.org.ua/index.php/ua/arkhiv-vydan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niv.kiev.ua/ukr/fonds/univmag/poshuk.php3?them_key=%D3%EA%F0%E0%BF%ED%F1%FC%EA%E8%E9+%EF%F1%E8%F5%EE%EB%EE%E3%B3%F7%ED%E8%E9+%E6%F3%F0%ED%E0%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BAfV7OGR5jMWof9e8843G24qcQ==">AMUW2mWObkuFwE0oHNWgr4R2n1hyi2VFJHXXTcl4/NmvFxG8ccoEugZQznYS9TtTliWhS0FaMe3Agxk19vmfZCKCxTeHgUiKpQkBmuOoPx1l2tt5uM/Fgd4=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3521</Words>
  <Characters>20072</Characters>
  <Application>Microsoft Office Word</Application>
  <DocSecurity>0</DocSecurity>
  <Lines>167</Lines>
  <Paragraphs>47</Paragraphs>
  <ScaleCrop>false</ScaleCrop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2</cp:revision>
  <dcterms:created xsi:type="dcterms:W3CDTF">2021-11-30T09:23:00Z</dcterms:created>
  <dcterms:modified xsi:type="dcterms:W3CDTF">2023-05-08T21:05:00Z</dcterms:modified>
</cp:coreProperties>
</file>