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33" w:rsidRPr="00C127CC" w:rsidRDefault="00514733" w:rsidP="0007578D">
      <w:pPr>
        <w:jc w:val="center"/>
        <w:rPr>
          <w:b/>
          <w:lang w:val="en-US"/>
        </w:rPr>
      </w:pPr>
    </w:p>
    <w:p w:rsidR="0007578D" w:rsidRPr="0007578D" w:rsidRDefault="0036168A" w:rsidP="0007578D">
      <w:pPr>
        <w:jc w:val="center"/>
        <w:rPr>
          <w:b/>
        </w:rPr>
      </w:pPr>
      <w:r w:rsidRPr="0007578D">
        <w:rPr>
          <w:b/>
        </w:rPr>
        <w:t xml:space="preserve">Оновлена версія системи дистанційного обслуговування </w:t>
      </w:r>
    </w:p>
    <w:p w:rsidR="001D6F20" w:rsidRPr="0007578D" w:rsidRDefault="0036168A" w:rsidP="0007578D">
      <w:pPr>
        <w:jc w:val="center"/>
        <w:rPr>
          <w:b/>
        </w:rPr>
      </w:pPr>
      <w:r w:rsidRPr="0007578D">
        <w:rPr>
          <w:b/>
        </w:rPr>
        <w:t xml:space="preserve">«Клієнт казначейства – Казначейство» </w:t>
      </w:r>
    </w:p>
    <w:p w:rsidR="006B1FBB" w:rsidRDefault="006B1FBB"/>
    <w:p w:rsidR="0036168A" w:rsidRDefault="006B1FBB" w:rsidP="006B1FBB">
      <w:r w:rsidRPr="006B1FBB">
        <w:t>У зв’язку із оновленням версії системи дистанційного обслуговування «Клієнт казначейства – Казначейство» (далі - СДО)</w:t>
      </w:r>
      <w:r>
        <w:t xml:space="preserve"> наводимо стислий опис основних змін у СДО. Також радимо ознайомитись із новою </w:t>
      </w:r>
      <w:r w:rsidR="007B10EA">
        <w:t>Документацією (і</w:t>
      </w:r>
      <w:r>
        <w:t>нструкцією</w:t>
      </w:r>
      <w:r w:rsidR="007B10EA">
        <w:t>)</w:t>
      </w:r>
      <w:r>
        <w:t xml:space="preserve"> користувача СДО. </w:t>
      </w:r>
    </w:p>
    <w:p w:rsidR="006B1FBB" w:rsidRPr="008D2ABE" w:rsidRDefault="006B1FBB"/>
    <w:p w:rsidR="0036168A" w:rsidRPr="008D2ABE" w:rsidRDefault="0036168A" w:rsidP="0036168A">
      <w:pPr>
        <w:pStyle w:val="a3"/>
        <w:numPr>
          <w:ilvl w:val="0"/>
          <w:numId w:val="1"/>
        </w:numPr>
        <w:rPr>
          <w:b/>
          <w:u w:val="single"/>
        </w:rPr>
      </w:pPr>
      <w:r w:rsidRPr="008D2ABE">
        <w:rPr>
          <w:b/>
          <w:u w:val="single"/>
        </w:rPr>
        <w:t>Зміни в інтерфейсі СДО</w:t>
      </w:r>
    </w:p>
    <w:p w:rsidR="0036168A" w:rsidRPr="008D2ABE" w:rsidRDefault="0036168A" w:rsidP="00641BD1">
      <w:pPr>
        <w:pStyle w:val="a3"/>
        <w:spacing w:before="120"/>
        <w:ind w:left="0" w:firstLine="567"/>
        <w:contextualSpacing w:val="0"/>
      </w:pPr>
      <w:r w:rsidRPr="008D2ABE">
        <w:t xml:space="preserve">Скасовано </w:t>
      </w:r>
      <w:r w:rsidR="00926244" w:rsidRPr="008D2ABE">
        <w:t xml:space="preserve">модулі: </w:t>
      </w:r>
      <w:r w:rsidR="001C429C" w:rsidRPr="008D2ABE">
        <w:t>«СДО:</w:t>
      </w:r>
      <w:r w:rsidR="00AF5C8A">
        <w:t> </w:t>
      </w:r>
      <w:r w:rsidRPr="008D2ABE">
        <w:t>АРМ Клієнта</w:t>
      </w:r>
      <w:r w:rsidR="001C429C" w:rsidRPr="008D2ABE">
        <w:t>»</w:t>
      </w:r>
      <w:r w:rsidR="00926244" w:rsidRPr="008D2ABE">
        <w:t>,</w:t>
      </w:r>
      <w:r w:rsidRPr="008D2ABE">
        <w:t xml:space="preserve"> </w:t>
      </w:r>
      <w:r w:rsidR="001C429C" w:rsidRPr="008D2ABE">
        <w:t>«СДО:</w:t>
      </w:r>
      <w:r w:rsidR="00AF5C8A">
        <w:t> </w:t>
      </w:r>
      <w:r w:rsidR="001C429C" w:rsidRPr="008D2ABE">
        <w:t>А</w:t>
      </w:r>
      <w:r w:rsidRPr="008D2ABE">
        <w:t>РМ Керівника</w:t>
      </w:r>
      <w:r w:rsidR="001C429C" w:rsidRPr="008D2ABE">
        <w:t>»</w:t>
      </w:r>
      <w:r w:rsidR="00926244" w:rsidRPr="008D2ABE">
        <w:t>,</w:t>
      </w:r>
      <w:r w:rsidRPr="008D2ABE">
        <w:t xml:space="preserve"> </w:t>
      </w:r>
      <w:r w:rsidR="001C429C" w:rsidRPr="008D2ABE">
        <w:t>«СДО:</w:t>
      </w:r>
      <w:r w:rsidR="00AF5C8A">
        <w:t> </w:t>
      </w:r>
      <w:r w:rsidRPr="008D2ABE">
        <w:t>Бюджетні документи»</w:t>
      </w:r>
      <w:r w:rsidR="001C429C" w:rsidRPr="008D2ABE">
        <w:t>, «СДО:</w:t>
      </w:r>
      <w:r w:rsidR="00AF5C8A">
        <w:t> </w:t>
      </w:r>
      <w:r w:rsidR="001C429C" w:rsidRPr="008D2ABE">
        <w:t>Інші операції»</w:t>
      </w:r>
      <w:r w:rsidR="00EA09C2" w:rsidRPr="008D2ABE">
        <w:t>, «СДО:</w:t>
      </w:r>
      <w:r w:rsidR="00AF5C8A">
        <w:t> </w:t>
      </w:r>
      <w:r w:rsidR="00EA09C2" w:rsidRPr="008D2ABE">
        <w:t>Виписки»</w:t>
      </w:r>
    </w:p>
    <w:p w:rsidR="00926244" w:rsidRPr="008D2ABE" w:rsidRDefault="00926244" w:rsidP="00844EA4">
      <w:pPr>
        <w:pStyle w:val="a3"/>
        <w:spacing w:before="120"/>
        <w:ind w:left="0"/>
        <w:contextualSpacing w:val="0"/>
      </w:pPr>
      <w:r w:rsidRPr="008D2ABE">
        <w:t>Вводяться нові модулі:</w:t>
      </w:r>
    </w:p>
    <w:p w:rsidR="00926244" w:rsidRPr="008D2ABE" w:rsidRDefault="00926244" w:rsidP="00844EA4">
      <w:pPr>
        <w:pStyle w:val="a3"/>
        <w:ind w:left="0"/>
      </w:pPr>
      <w:r w:rsidRPr="008D2ABE">
        <w:rPr>
          <w:b/>
        </w:rPr>
        <w:t>«СДО:</w:t>
      </w:r>
      <w:r w:rsidR="00AF5C8A">
        <w:rPr>
          <w:b/>
        </w:rPr>
        <w:t> </w:t>
      </w:r>
      <w:r w:rsidRPr="008D2ABE">
        <w:rPr>
          <w:b/>
        </w:rPr>
        <w:t>Документи»</w:t>
      </w:r>
      <w:r w:rsidRPr="008D2ABE">
        <w:t xml:space="preserve"> - єдиний модуль для роботи з усіма видами документів. Модуль містить функції:</w:t>
      </w:r>
    </w:p>
    <w:p w:rsidR="00926244" w:rsidRPr="0007578D" w:rsidRDefault="00AF5C8A" w:rsidP="00EA09C2">
      <w:pPr>
        <w:pStyle w:val="a3"/>
        <w:numPr>
          <w:ilvl w:val="0"/>
          <w:numId w:val="2"/>
        </w:numPr>
        <w:ind w:left="284" w:hanging="284"/>
      </w:pPr>
      <w:r>
        <w:rPr>
          <w:i/>
        </w:rPr>
        <w:t>«І</w:t>
      </w:r>
      <w:r w:rsidR="00926244" w:rsidRPr="008D2ABE">
        <w:rPr>
          <w:i/>
        </w:rPr>
        <w:t>мпорт документів»</w:t>
      </w:r>
      <w:r w:rsidR="00926244" w:rsidRPr="008D2ABE">
        <w:t xml:space="preserve"> – для створення, перегляду та друку усіх видів документів</w:t>
      </w:r>
      <w:r w:rsidR="0007578D" w:rsidRPr="00F56F25">
        <w:rPr>
          <w:lang w:val="ru-RU"/>
        </w:rPr>
        <w:t xml:space="preserve"> (</w:t>
      </w:r>
      <w:r w:rsidR="0007578D" w:rsidRPr="0007578D">
        <w:t>у тому числі – усіх видів платіжних доручень, відновлень касових видатків</w:t>
      </w:r>
      <w:r w:rsidR="0007578D">
        <w:t>, довідок у натуральній формі)</w:t>
      </w:r>
      <w:r w:rsidR="00926244" w:rsidRPr="0007578D">
        <w:t>;</w:t>
      </w:r>
    </w:p>
    <w:p w:rsidR="00926244" w:rsidRPr="008D2ABE" w:rsidRDefault="00926244" w:rsidP="00EA09C2">
      <w:pPr>
        <w:pStyle w:val="a3"/>
        <w:numPr>
          <w:ilvl w:val="0"/>
          <w:numId w:val="2"/>
        </w:numPr>
        <w:ind w:left="284" w:hanging="284"/>
      </w:pPr>
      <w:r w:rsidRPr="008D2ABE">
        <w:rPr>
          <w:i/>
        </w:rPr>
        <w:t>«</w:t>
      </w:r>
      <w:r w:rsidR="00AF5C8A">
        <w:rPr>
          <w:i/>
        </w:rPr>
        <w:t>В</w:t>
      </w:r>
      <w:r w:rsidRPr="008D2ABE">
        <w:rPr>
          <w:i/>
        </w:rPr>
        <w:t>ізування документів»</w:t>
      </w:r>
      <w:r w:rsidRPr="008D2ABE">
        <w:t xml:space="preserve"> – для накладання на документи кваліфікованих електронних підписів або печатки (КЕП);</w:t>
      </w:r>
    </w:p>
    <w:p w:rsidR="00926244" w:rsidRPr="008D2ABE" w:rsidRDefault="00AF5C8A" w:rsidP="00EA09C2">
      <w:pPr>
        <w:pStyle w:val="a3"/>
        <w:numPr>
          <w:ilvl w:val="0"/>
          <w:numId w:val="2"/>
        </w:numPr>
        <w:ind w:left="284" w:hanging="284"/>
      </w:pPr>
      <w:r>
        <w:rPr>
          <w:i/>
        </w:rPr>
        <w:t>«П</w:t>
      </w:r>
      <w:r w:rsidR="00926244" w:rsidRPr="008D2ABE">
        <w:rPr>
          <w:i/>
        </w:rPr>
        <w:t>роведені бюджетні документи»</w:t>
      </w:r>
      <w:r w:rsidR="00926244" w:rsidRPr="008D2ABE">
        <w:t xml:space="preserve"> – для друку реєстрів окремих бюджетних документів із відмітками органів Казначейства про їх опрацювання.  </w:t>
      </w:r>
    </w:p>
    <w:p w:rsidR="001C429C" w:rsidRPr="008D2ABE" w:rsidRDefault="001C429C" w:rsidP="00844EA4">
      <w:pPr>
        <w:pStyle w:val="a3"/>
        <w:ind w:left="0"/>
      </w:pPr>
      <w:r w:rsidRPr="008D2ABE">
        <w:t>У кожній з функцій документи згруповані за видам</w:t>
      </w:r>
      <w:r w:rsidR="005B75C8" w:rsidRPr="008D2ABE">
        <w:t>и</w:t>
      </w:r>
      <w:r w:rsidRPr="008D2ABE">
        <w:t>:</w:t>
      </w:r>
    </w:p>
    <w:p w:rsidR="001C429C" w:rsidRPr="008D2ABE" w:rsidRDefault="001C429C" w:rsidP="00EA09C2">
      <w:pPr>
        <w:pStyle w:val="a3"/>
        <w:numPr>
          <w:ilvl w:val="0"/>
          <w:numId w:val="2"/>
        </w:numPr>
        <w:ind w:left="284" w:hanging="284"/>
      </w:pPr>
      <w:r w:rsidRPr="008D2ABE">
        <w:t>планові показники;</w:t>
      </w:r>
    </w:p>
    <w:p w:rsidR="001C429C" w:rsidRPr="008D2ABE" w:rsidRDefault="001C429C" w:rsidP="00EA09C2">
      <w:pPr>
        <w:pStyle w:val="a3"/>
        <w:numPr>
          <w:ilvl w:val="0"/>
          <w:numId w:val="2"/>
        </w:numPr>
        <w:ind w:left="284" w:hanging="284"/>
      </w:pPr>
      <w:r w:rsidRPr="008D2ABE">
        <w:t>розподіли асигнувань;</w:t>
      </w:r>
    </w:p>
    <w:p w:rsidR="005B75C8" w:rsidRPr="008D2ABE" w:rsidRDefault="005B75C8" w:rsidP="00EA09C2">
      <w:pPr>
        <w:pStyle w:val="a3"/>
        <w:numPr>
          <w:ilvl w:val="0"/>
          <w:numId w:val="2"/>
        </w:numPr>
        <w:ind w:left="284" w:hanging="284"/>
      </w:pPr>
      <w:r w:rsidRPr="008D2ABE">
        <w:t>розпорядження МБ;</w:t>
      </w:r>
    </w:p>
    <w:p w:rsidR="005B75C8" w:rsidRPr="008D2ABE" w:rsidRDefault="005B75C8" w:rsidP="00EA09C2">
      <w:pPr>
        <w:pStyle w:val="a3"/>
        <w:numPr>
          <w:ilvl w:val="0"/>
          <w:numId w:val="2"/>
        </w:numPr>
        <w:ind w:left="284" w:hanging="284"/>
      </w:pPr>
      <w:r w:rsidRPr="008D2ABE">
        <w:t xml:space="preserve">зобов’язання та платіжні доручення </w:t>
      </w:r>
      <w:r w:rsidR="00F56F25">
        <w:t>–</w:t>
      </w:r>
      <w:r w:rsidRPr="008D2ABE">
        <w:t xml:space="preserve"> для реєстрів бюджетних, бюджетних фінансових зобов’язань та платіжних доручень</w:t>
      </w:r>
      <w:r w:rsidR="00EA09C2" w:rsidRPr="008D2ABE">
        <w:t xml:space="preserve"> з касових видатків (які</w:t>
      </w:r>
      <w:r w:rsidRPr="008D2ABE">
        <w:t xml:space="preserve"> проводяться за КЕКВ);</w:t>
      </w:r>
    </w:p>
    <w:p w:rsidR="00EA09C2" w:rsidRPr="008D2ABE" w:rsidRDefault="005B75C8" w:rsidP="00EA09C2">
      <w:pPr>
        <w:pStyle w:val="a3"/>
        <w:numPr>
          <w:ilvl w:val="0"/>
          <w:numId w:val="2"/>
        </w:numPr>
        <w:ind w:left="284" w:hanging="284"/>
      </w:pPr>
      <w:r w:rsidRPr="008D2ABE">
        <w:t xml:space="preserve">платіжні доручення (не бюджетні) – платіжні доручення з </w:t>
      </w:r>
      <w:proofErr w:type="spellStart"/>
      <w:r w:rsidRPr="008D2ABE">
        <w:t>небюджетних</w:t>
      </w:r>
      <w:proofErr w:type="spellEnd"/>
      <w:r w:rsidRPr="008D2ABE">
        <w:t xml:space="preserve"> рахунків, з рахунків по зарахуванню власних надходжень бюджетних установ та інших платежів, які не відносяться  </w:t>
      </w:r>
      <w:r w:rsidR="00EA09C2" w:rsidRPr="008D2ABE">
        <w:t xml:space="preserve">до касових видатків; </w:t>
      </w:r>
    </w:p>
    <w:p w:rsidR="005B75C8" w:rsidRPr="008D2ABE" w:rsidRDefault="005B75C8" w:rsidP="00EA09C2">
      <w:pPr>
        <w:pStyle w:val="a3"/>
        <w:numPr>
          <w:ilvl w:val="0"/>
          <w:numId w:val="2"/>
        </w:numPr>
        <w:ind w:left="284" w:hanging="284"/>
      </w:pPr>
      <w:r w:rsidRPr="008D2ABE">
        <w:t>інші операції – довідки у натуральній формі та операції з відновлення касових видатків</w:t>
      </w:r>
      <w:r w:rsidR="00EA09C2" w:rsidRPr="008D2ABE">
        <w:t>.</w:t>
      </w:r>
    </w:p>
    <w:p w:rsidR="00EA09C2" w:rsidRPr="008D2ABE" w:rsidRDefault="00641BD1" w:rsidP="00844EA4">
      <w:pPr>
        <w:pStyle w:val="a3"/>
        <w:ind w:left="0"/>
      </w:pPr>
      <w:r w:rsidRPr="008D2ABE">
        <w:t xml:space="preserve">Усі види документів, з якими здійснює операції клієнт, доступні для створення та перегляду усім його користувачам незалежно від поточного статусу документа. Усі реквізити документа розташовані на екрані у зручний спосіб, відсутня необхідність «прокрутки» екрану. Додана візуалізація наявності або відсутності </w:t>
      </w:r>
      <w:proofErr w:type="spellStart"/>
      <w:r w:rsidRPr="008D2ABE">
        <w:t>сканкопії</w:t>
      </w:r>
      <w:proofErr w:type="spellEnd"/>
      <w:r w:rsidRPr="008D2ABE">
        <w:t xml:space="preserve"> (підтвердного документа). Додана можливість друку історії зміни статусів документа.</w:t>
      </w:r>
    </w:p>
    <w:p w:rsidR="00641BD1" w:rsidRPr="008D2ABE" w:rsidRDefault="00641BD1" w:rsidP="00844EA4">
      <w:pPr>
        <w:pStyle w:val="a3"/>
        <w:ind w:left="0"/>
      </w:pPr>
      <w:r w:rsidRPr="008D2ABE">
        <w:t>Процедура візування документа винесена в окрему функцію. Документи для візування доступні лише тим користувачам, які уповноважені здійснювати накладання КЕП на документи.</w:t>
      </w:r>
    </w:p>
    <w:p w:rsidR="00926244" w:rsidRPr="008D2ABE" w:rsidRDefault="00AF5C8A" w:rsidP="00844EA4">
      <w:pPr>
        <w:spacing w:before="120"/>
      </w:pPr>
      <w:r>
        <w:rPr>
          <w:b/>
        </w:rPr>
        <w:lastRenderedPageBreak/>
        <w:t>«СДО: Р</w:t>
      </w:r>
      <w:r w:rsidR="00926244" w:rsidRPr="008D2ABE">
        <w:rPr>
          <w:b/>
        </w:rPr>
        <w:t xml:space="preserve">ахунки та виписки» </w:t>
      </w:r>
      <w:r w:rsidR="00926244" w:rsidRPr="008D2ABE">
        <w:t>- модуль для перегляду стану рахунків, друку виписок та пакетного друку проведених платіжних доручень.</w:t>
      </w:r>
    </w:p>
    <w:p w:rsidR="00E025A5" w:rsidRPr="008D2ABE" w:rsidRDefault="00E025A5" w:rsidP="00844EA4">
      <w:pPr>
        <w:spacing w:before="120"/>
      </w:pPr>
      <w:r w:rsidRPr="008D2ABE">
        <w:t>Реквізити рахунків доповнено параметрами «Бюджет», «КВК», «КПК», «Фонд».</w:t>
      </w:r>
      <w:r w:rsidR="00FA34DB" w:rsidRPr="008D2ABE">
        <w:t xml:space="preserve"> Параметри перегляду рахунків доповнено можливістю встановлення  фільтру за станом рахунку: відкриті, закриті, заблоковані.</w:t>
      </w:r>
    </w:p>
    <w:p w:rsidR="00FA34DB" w:rsidRPr="008D2ABE" w:rsidRDefault="00FA34DB" w:rsidP="00844EA4">
      <w:pPr>
        <w:spacing w:before="120"/>
      </w:pPr>
      <w:r w:rsidRPr="008D2ABE">
        <w:t>Збережено можливість встановлення фільтрів за датою, періодом дат, відбору усіх або обраних рахунків, пошуку окремих документів за реквізитами, звичайної</w:t>
      </w:r>
      <w:r w:rsidR="0007578D">
        <w:t xml:space="preserve"> виписки або виписки за КЕКВ, па</w:t>
      </w:r>
      <w:r w:rsidRPr="008D2ABE">
        <w:t>кетного друку документів та виписок, тощо.</w:t>
      </w:r>
    </w:p>
    <w:p w:rsidR="003A604B" w:rsidRPr="008D2ABE" w:rsidRDefault="00AF5C8A" w:rsidP="00844EA4">
      <w:pPr>
        <w:spacing w:before="120"/>
      </w:pPr>
      <w:r>
        <w:rPr>
          <w:b/>
        </w:rPr>
        <w:t>«СДО: </w:t>
      </w:r>
      <w:r w:rsidR="003A604B" w:rsidRPr="008D2ABE">
        <w:rPr>
          <w:b/>
        </w:rPr>
        <w:t xml:space="preserve">Повернення коштів </w:t>
      </w:r>
      <w:r w:rsidR="008D1550">
        <w:rPr>
          <w:b/>
        </w:rPr>
        <w:t xml:space="preserve">з </w:t>
      </w:r>
      <w:r w:rsidR="003A604B" w:rsidRPr="008D2ABE">
        <w:rPr>
          <w:b/>
        </w:rPr>
        <w:t>бюджету»</w:t>
      </w:r>
      <w:r w:rsidR="001C429C" w:rsidRPr="008D2ABE">
        <w:rPr>
          <w:b/>
        </w:rPr>
        <w:t xml:space="preserve"> - </w:t>
      </w:r>
      <w:r w:rsidR="001C429C" w:rsidRPr="008D2ABE">
        <w:t>для взаємодії органів Казначейства з органами, що контролюють справляння надходжень бюджету, у процесі повернення з державного та місцевих бюджетів помилково або надміру зарахованих коштів. Містить функції:</w:t>
      </w:r>
    </w:p>
    <w:p w:rsidR="001C429C" w:rsidRPr="008D2ABE" w:rsidRDefault="001C429C" w:rsidP="001C429C">
      <w:pPr>
        <w:pStyle w:val="a3"/>
        <w:numPr>
          <w:ilvl w:val="0"/>
          <w:numId w:val="2"/>
        </w:numPr>
        <w:rPr>
          <w:b/>
          <w:i/>
        </w:rPr>
      </w:pPr>
      <w:r w:rsidRPr="008D2ABE">
        <w:rPr>
          <w:i/>
        </w:rPr>
        <w:t>«</w:t>
      </w:r>
      <w:r w:rsidR="008D1550">
        <w:rPr>
          <w:i/>
        </w:rPr>
        <w:t>П</w:t>
      </w:r>
      <w:r w:rsidRPr="008D2ABE">
        <w:rPr>
          <w:i/>
        </w:rPr>
        <w:t>ерегляд Електронного подання»</w:t>
      </w:r>
    </w:p>
    <w:p w:rsidR="001C429C" w:rsidRPr="008D2ABE" w:rsidRDefault="008D1550" w:rsidP="001C429C">
      <w:pPr>
        <w:pStyle w:val="a3"/>
        <w:numPr>
          <w:ilvl w:val="0"/>
          <w:numId w:val="2"/>
        </w:numPr>
        <w:rPr>
          <w:b/>
          <w:i/>
        </w:rPr>
      </w:pPr>
      <w:r>
        <w:rPr>
          <w:i/>
        </w:rPr>
        <w:t>«В</w:t>
      </w:r>
      <w:r w:rsidR="001C429C" w:rsidRPr="008D2ABE">
        <w:rPr>
          <w:i/>
        </w:rPr>
        <w:t>ізування»</w:t>
      </w:r>
    </w:p>
    <w:p w:rsidR="001C429C" w:rsidRPr="008D2ABE" w:rsidRDefault="008D1550" w:rsidP="001C429C">
      <w:pPr>
        <w:pStyle w:val="a3"/>
        <w:numPr>
          <w:ilvl w:val="0"/>
          <w:numId w:val="2"/>
        </w:numPr>
        <w:rPr>
          <w:b/>
          <w:i/>
        </w:rPr>
      </w:pPr>
      <w:r>
        <w:rPr>
          <w:i/>
        </w:rPr>
        <w:t>«Перегляд Е</w:t>
      </w:r>
      <w:r w:rsidR="001C429C" w:rsidRPr="008D2ABE">
        <w:rPr>
          <w:i/>
        </w:rPr>
        <w:t>лектронного звернення»</w:t>
      </w:r>
    </w:p>
    <w:p w:rsidR="00EA09C2" w:rsidRPr="008D2ABE" w:rsidRDefault="008D1550" w:rsidP="001C429C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«В</w:t>
      </w:r>
      <w:r w:rsidR="00EA09C2" w:rsidRPr="008D2ABE">
        <w:rPr>
          <w:i/>
        </w:rPr>
        <w:t>иписки з рахунків за надходженнями бюджетів»</w:t>
      </w:r>
    </w:p>
    <w:p w:rsidR="00EA09C2" w:rsidRDefault="00EA09C2" w:rsidP="00641BD1">
      <w:pPr>
        <w:pStyle w:val="a3"/>
        <w:spacing w:before="120"/>
        <w:ind w:left="0" w:firstLine="567"/>
        <w:contextualSpacing w:val="0"/>
      </w:pPr>
      <w:r w:rsidRPr="008D2ABE">
        <w:t>Модулі «СДО:</w:t>
      </w:r>
      <w:r w:rsidR="008D1550">
        <w:t> </w:t>
      </w:r>
      <w:r w:rsidRPr="008D2ABE">
        <w:t>АРМ Головного розпорядника», «СДО:</w:t>
      </w:r>
      <w:r w:rsidR="008D1550">
        <w:t> </w:t>
      </w:r>
      <w:r w:rsidRPr="008D2ABE">
        <w:t>АРМ Єдина мережа» залишаються без змін.</w:t>
      </w:r>
    </w:p>
    <w:p w:rsidR="00EA09C2" w:rsidRPr="008D2ABE" w:rsidRDefault="00EA09C2" w:rsidP="00EA09C2">
      <w:pPr>
        <w:pStyle w:val="a3"/>
        <w:ind w:left="0" w:firstLine="567"/>
        <w:rPr>
          <w:b/>
        </w:rPr>
      </w:pPr>
    </w:p>
    <w:p w:rsidR="00E025A5" w:rsidRPr="00976618" w:rsidRDefault="00E025A5" w:rsidP="0007578D">
      <w:pPr>
        <w:pStyle w:val="a3"/>
        <w:numPr>
          <w:ilvl w:val="0"/>
          <w:numId w:val="1"/>
        </w:numPr>
        <w:rPr>
          <w:b/>
          <w:u w:val="single"/>
        </w:rPr>
      </w:pPr>
      <w:r w:rsidRPr="00976618">
        <w:rPr>
          <w:b/>
          <w:u w:val="single"/>
        </w:rPr>
        <w:t>Зміни в організації доступу до інформації в СДО</w:t>
      </w:r>
    </w:p>
    <w:p w:rsidR="0007578D" w:rsidRDefault="0007578D" w:rsidP="00E025A5">
      <w:pPr>
        <w:tabs>
          <w:tab w:val="left" w:pos="0"/>
        </w:tabs>
        <w:spacing w:before="120"/>
      </w:pPr>
      <w:r>
        <w:t>Для організації доступу до СДО подаються:</w:t>
      </w:r>
    </w:p>
    <w:p w:rsidR="0007578D" w:rsidRDefault="0007578D" w:rsidP="0007578D">
      <w:pPr>
        <w:pStyle w:val="a3"/>
        <w:numPr>
          <w:ilvl w:val="0"/>
          <w:numId w:val="2"/>
        </w:numPr>
        <w:tabs>
          <w:tab w:val="left" w:pos="0"/>
        </w:tabs>
        <w:spacing w:before="120"/>
        <w:ind w:left="0" w:firstLine="567"/>
      </w:pPr>
      <w:r w:rsidRPr="006E23CE">
        <w:rPr>
          <w:b/>
        </w:rPr>
        <w:t>Заява про підключення клієнта до СДО</w:t>
      </w:r>
      <w:r>
        <w:t xml:space="preserve"> </w:t>
      </w:r>
      <w:r w:rsidR="00891438">
        <w:t>(далі – Заява про підключення). П</w:t>
      </w:r>
      <w:r>
        <w:t xml:space="preserve">одається при початковому підключенні установи клієнта до СДО, оновлюється у випадку зміни </w:t>
      </w:r>
      <w:r w:rsidR="00891438">
        <w:t xml:space="preserve">наведених </w:t>
      </w:r>
      <w:r>
        <w:t>даних;</w:t>
      </w:r>
    </w:p>
    <w:p w:rsidR="0007578D" w:rsidRDefault="0007578D" w:rsidP="0007578D">
      <w:pPr>
        <w:pStyle w:val="a3"/>
        <w:numPr>
          <w:ilvl w:val="0"/>
          <w:numId w:val="2"/>
        </w:numPr>
        <w:tabs>
          <w:tab w:val="left" w:pos="0"/>
        </w:tabs>
        <w:spacing w:before="120"/>
        <w:ind w:left="0" w:firstLine="567"/>
      </w:pPr>
      <w:r w:rsidRPr="006E23CE">
        <w:rPr>
          <w:b/>
        </w:rPr>
        <w:t xml:space="preserve">Заявка про надання </w:t>
      </w:r>
      <w:r w:rsidR="008D1550">
        <w:rPr>
          <w:b/>
        </w:rPr>
        <w:t>персонального</w:t>
      </w:r>
      <w:r w:rsidR="008D1550" w:rsidRPr="006E23CE">
        <w:rPr>
          <w:b/>
        </w:rPr>
        <w:t xml:space="preserve"> </w:t>
      </w:r>
      <w:r w:rsidRPr="006E23CE">
        <w:rPr>
          <w:b/>
        </w:rPr>
        <w:t>доступу до СДО</w:t>
      </w:r>
      <w:r>
        <w:t xml:space="preserve"> </w:t>
      </w:r>
      <w:r w:rsidR="00891438">
        <w:t>(далі – персональна Заявка)</w:t>
      </w:r>
      <w:r>
        <w:t xml:space="preserve"> - подається при реєстрації користувача в </w:t>
      </w:r>
      <w:r w:rsidR="008D1550">
        <w:t>СДО, оновлюється у випадку зміни</w:t>
      </w:r>
      <w:r>
        <w:t xml:space="preserve"> </w:t>
      </w:r>
      <w:r w:rsidR="006E23CE">
        <w:t>ідентифікаційних</w:t>
      </w:r>
      <w:r>
        <w:t xml:space="preserve"> даних </w:t>
      </w:r>
      <w:r w:rsidR="006E23CE">
        <w:t xml:space="preserve">(КЕП) </w:t>
      </w:r>
      <w:r>
        <w:t>та</w:t>
      </w:r>
      <w:r w:rsidR="00891438">
        <w:t xml:space="preserve">/або </w:t>
      </w:r>
      <w:r>
        <w:t xml:space="preserve"> повноважень користувача</w:t>
      </w:r>
      <w:r w:rsidR="006E23CE">
        <w:t>.</w:t>
      </w:r>
    </w:p>
    <w:p w:rsidR="00E025A5" w:rsidRDefault="00E025A5" w:rsidP="00E025A5">
      <w:pPr>
        <w:tabs>
          <w:tab w:val="left" w:pos="0"/>
        </w:tabs>
        <w:spacing w:before="120"/>
      </w:pPr>
      <w:r w:rsidRPr="008D2ABE">
        <w:t>В залежності від ролі у бюджетному процесі (головний розпорядник, розпорядник,</w:t>
      </w:r>
      <w:r w:rsidR="00844EA4">
        <w:t xml:space="preserve"> </w:t>
      </w:r>
      <w:r w:rsidRPr="008D2ABE">
        <w:t>одержувач, інший клієнт), клієнту в СДО присвоюється відповідна категорія та перелік функцій, операцій та видів документів, до яких буде надано доступ користувачам клієнта.</w:t>
      </w:r>
      <w:r w:rsidR="006E23CE">
        <w:t xml:space="preserve"> Категорія визначається за  даними, зазначеними у Заяві</w:t>
      </w:r>
      <w:r w:rsidR="00514733">
        <w:t xml:space="preserve"> про підключення</w:t>
      </w:r>
      <w:r w:rsidR="006E23CE">
        <w:t>.</w:t>
      </w:r>
    </w:p>
    <w:p w:rsidR="006D07D0" w:rsidRDefault="006E23CE" w:rsidP="00E025A5">
      <w:pPr>
        <w:tabs>
          <w:tab w:val="left" w:pos="0"/>
        </w:tabs>
        <w:spacing w:before="120"/>
      </w:pPr>
      <w:r>
        <w:t>У</w:t>
      </w:r>
      <w:r w:rsidR="006D07D0">
        <w:t xml:space="preserve"> форм</w:t>
      </w:r>
      <w:r>
        <w:t>і</w:t>
      </w:r>
      <w:r w:rsidR="006D07D0">
        <w:t xml:space="preserve"> персональної Заявки </w:t>
      </w:r>
      <w:r>
        <w:t>с</w:t>
      </w:r>
      <w:r w:rsidR="006D07D0">
        <w:t>касовується необхідність:</w:t>
      </w:r>
    </w:p>
    <w:p w:rsidR="008D2ABE" w:rsidRDefault="006D07D0" w:rsidP="006D07D0">
      <w:pPr>
        <w:tabs>
          <w:tab w:val="left" w:pos="142"/>
        </w:tabs>
        <w:ind w:firstLine="0"/>
      </w:pPr>
      <w:r>
        <w:t>- зазначати перелік рахунків для кожного користувача;</w:t>
      </w:r>
    </w:p>
    <w:p w:rsidR="006D07D0" w:rsidRDefault="006D07D0" w:rsidP="006D07D0">
      <w:pPr>
        <w:tabs>
          <w:tab w:val="left" w:pos="142"/>
        </w:tabs>
        <w:ind w:firstLine="0"/>
      </w:pPr>
      <w:r>
        <w:t>- встановлювати порядковий номер візи для кожного користувача;</w:t>
      </w:r>
    </w:p>
    <w:p w:rsidR="006D07D0" w:rsidRDefault="006D07D0" w:rsidP="006D07D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contextualSpacing w:val="0"/>
      </w:pPr>
      <w:r>
        <w:t>зазначати перелік документів для кожного користувача;</w:t>
      </w:r>
    </w:p>
    <w:p w:rsidR="006D07D0" w:rsidRDefault="006D07D0" w:rsidP="00514733">
      <w:pPr>
        <w:pStyle w:val="a3"/>
        <w:numPr>
          <w:ilvl w:val="0"/>
          <w:numId w:val="2"/>
        </w:numPr>
        <w:tabs>
          <w:tab w:val="left" w:pos="142"/>
        </w:tabs>
        <w:ind w:left="142" w:hanging="142"/>
        <w:contextualSpacing w:val="0"/>
      </w:pPr>
      <w:r>
        <w:t xml:space="preserve">подавати оновлену </w:t>
      </w:r>
      <w:r w:rsidR="00514733">
        <w:t xml:space="preserve">персональну </w:t>
      </w:r>
      <w:r>
        <w:t>Заявку у зв’язку із відкриттям нових рахунків клієнта.</w:t>
      </w:r>
    </w:p>
    <w:p w:rsidR="00E025A5" w:rsidRPr="008D2ABE" w:rsidRDefault="00FA34DB" w:rsidP="00E025A5">
      <w:pPr>
        <w:tabs>
          <w:tab w:val="left" w:pos="0"/>
        </w:tabs>
        <w:spacing w:before="120"/>
      </w:pPr>
      <w:r w:rsidRPr="008D2ABE">
        <w:t>Клієнту та його к</w:t>
      </w:r>
      <w:r w:rsidR="00E025A5" w:rsidRPr="008D2ABE">
        <w:t xml:space="preserve">ористувачам в автоматичному режимі буде надаватись доступ до рахунків, </w:t>
      </w:r>
      <w:r w:rsidR="008D2ABE">
        <w:t>які</w:t>
      </w:r>
      <w:r w:rsidR="008D2ABE" w:rsidRPr="008D2ABE">
        <w:t xml:space="preserve"> відкриті на ім’я клієнта в органі Казначейства</w:t>
      </w:r>
      <w:r w:rsidR="006D07D0">
        <w:t xml:space="preserve"> (у тому </w:t>
      </w:r>
      <w:r w:rsidR="006D07D0">
        <w:lastRenderedPageBreak/>
        <w:t>числі тих, що відкриті після підключення клієнта та його користувачів до СДО)</w:t>
      </w:r>
      <w:r w:rsidR="008D2ABE" w:rsidRPr="008D2ABE">
        <w:t xml:space="preserve"> за субрахунками Плану рахунків бухгалтерського обліку в державному секторі (далі - План рахунків)  згідно з переліком:</w:t>
      </w:r>
    </w:p>
    <w:tbl>
      <w:tblPr>
        <w:tblStyle w:val="a4"/>
        <w:tblW w:w="0" w:type="auto"/>
        <w:tblInd w:w="-34" w:type="dxa"/>
        <w:tblLook w:val="04A0"/>
      </w:tblPr>
      <w:tblGrid>
        <w:gridCol w:w="7372"/>
        <w:gridCol w:w="2233"/>
      </w:tblGrid>
      <w:tr w:rsidR="008D2ABE" w:rsidRPr="008D2ABE" w:rsidTr="0007578D">
        <w:tc>
          <w:tcPr>
            <w:tcW w:w="7372" w:type="dxa"/>
          </w:tcPr>
          <w:p w:rsidR="008D2ABE" w:rsidRPr="008D2ABE" w:rsidRDefault="008D2ABE" w:rsidP="008D2AB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Назва рахунку</w:t>
            </w:r>
          </w:p>
        </w:tc>
        <w:tc>
          <w:tcPr>
            <w:tcW w:w="2233" w:type="dxa"/>
          </w:tcPr>
          <w:p w:rsidR="008D2ABE" w:rsidRPr="008D2ABE" w:rsidRDefault="008D2ABE" w:rsidP="008D2AB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Балансовий рахунок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8D2ABE">
              <w:rPr>
                <w:b/>
                <w:sz w:val="20"/>
                <w:szCs w:val="20"/>
              </w:rPr>
              <w:t>Бюджетні рахунки: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реєстраційні рахунки розпорядників бюджетних коштів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3431, 3442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особові рахунки розпорядників коштів місцевих бюджетів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3440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одержувачів бюджетних коштів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3432, 3443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для операцій по загальнодержавних витратах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3433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 xml:space="preserve">рахунки для операцій з надання кредитів 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3434, 3445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для операцій з міжбюджетними трансфертами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3444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для зарахування власних надходжень бюджетних установ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3132, 3142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8D2ABE">
              <w:rPr>
                <w:b/>
                <w:sz w:val="20"/>
                <w:szCs w:val="20"/>
              </w:rPr>
              <w:t>Небюджетні</w:t>
            </w:r>
            <w:proofErr w:type="spellEnd"/>
            <w:r w:rsidRPr="008D2ABE">
              <w:rPr>
                <w:b/>
                <w:sz w:val="20"/>
                <w:szCs w:val="20"/>
              </w:rPr>
              <w:t xml:space="preserve"> рахунки: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інші рахунки та депозитні рахунки розпорядників та одержувачів бюджетних коштів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3551, 3552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інших клієнтів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3553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державних цільових фондів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3554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для зарахування коштів від приватизації майна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3555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для зарахування єдиного соціального внеску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3556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рахунок для обліку коштів органів, що контролюють справляння надходжень бюджету (рух митних платежів)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3557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для обліку коштів додаткової фінансової підтримки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3854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b/>
                <w:sz w:val="20"/>
                <w:szCs w:val="20"/>
              </w:rPr>
            </w:pPr>
            <w:r w:rsidRPr="008D2ABE">
              <w:rPr>
                <w:b/>
                <w:sz w:val="20"/>
                <w:szCs w:val="20"/>
              </w:rPr>
              <w:t>Рахунки місцевого бюджету: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 xml:space="preserve">рахунки для коштів місцевих бюджетів 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3241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для надходження від запозичень та активних операцій місцевого бюджету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3144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рахунки для здійснення витрат з погашення боргу та активних операцій місцевих бюджетів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3446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8D2AB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D2ABE">
              <w:rPr>
                <w:b/>
                <w:sz w:val="20"/>
                <w:szCs w:val="20"/>
              </w:rPr>
              <w:t>Відкриті асигнування: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5"/>
              <w:snapToGrid w:val="0"/>
              <w:jc w:val="both"/>
              <w:rPr>
                <w:sz w:val="20"/>
                <w:szCs w:val="20"/>
                <w:lang w:val="uk-UA"/>
              </w:rPr>
            </w:pPr>
            <w:r w:rsidRPr="008D2ABE">
              <w:rPr>
                <w:sz w:val="20"/>
                <w:szCs w:val="20"/>
                <w:lang w:val="uk-UA"/>
              </w:rPr>
              <w:t>відкриті асигнування за узагальненими показниками державного бюджету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9011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5"/>
              <w:snapToGrid w:val="0"/>
              <w:jc w:val="both"/>
              <w:rPr>
                <w:sz w:val="20"/>
                <w:szCs w:val="20"/>
                <w:lang w:val="uk-UA"/>
              </w:rPr>
            </w:pPr>
            <w:r w:rsidRPr="008D2ABE">
              <w:rPr>
                <w:sz w:val="20"/>
                <w:szCs w:val="20"/>
                <w:lang w:val="uk-UA"/>
              </w:rPr>
              <w:t>відкриті асигнування на виконання програм державного бюджету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9012</w:t>
            </w:r>
          </w:p>
        </w:tc>
      </w:tr>
      <w:tr w:rsidR="008D2ABE" w:rsidRPr="008D2ABE" w:rsidTr="0007578D">
        <w:tc>
          <w:tcPr>
            <w:tcW w:w="7372" w:type="dxa"/>
          </w:tcPr>
          <w:p w:rsidR="008D2ABE" w:rsidRPr="008D2ABE" w:rsidRDefault="008D2ABE" w:rsidP="0007578D">
            <w:pPr>
              <w:pStyle w:val="a5"/>
              <w:snapToGrid w:val="0"/>
              <w:jc w:val="both"/>
              <w:rPr>
                <w:sz w:val="20"/>
                <w:szCs w:val="20"/>
                <w:lang w:val="uk-UA"/>
              </w:rPr>
            </w:pPr>
            <w:r w:rsidRPr="008D2ABE">
              <w:rPr>
                <w:sz w:val="20"/>
                <w:szCs w:val="20"/>
                <w:lang w:val="uk-UA"/>
              </w:rPr>
              <w:t>відкриті асигнування державного бюджету</w:t>
            </w:r>
          </w:p>
        </w:tc>
        <w:tc>
          <w:tcPr>
            <w:tcW w:w="2233" w:type="dxa"/>
          </w:tcPr>
          <w:p w:rsidR="008D2ABE" w:rsidRPr="008D2ABE" w:rsidRDefault="008D2ABE" w:rsidP="0007578D">
            <w:pPr>
              <w:pStyle w:val="a3"/>
              <w:ind w:left="0"/>
              <w:rPr>
                <w:sz w:val="20"/>
                <w:szCs w:val="20"/>
              </w:rPr>
            </w:pPr>
            <w:r w:rsidRPr="008D2ABE">
              <w:rPr>
                <w:sz w:val="20"/>
                <w:szCs w:val="20"/>
              </w:rPr>
              <w:t>9013</w:t>
            </w:r>
          </w:p>
        </w:tc>
      </w:tr>
    </w:tbl>
    <w:p w:rsidR="006D07D0" w:rsidRDefault="008D2ABE" w:rsidP="00E025A5">
      <w:pPr>
        <w:tabs>
          <w:tab w:val="left" w:pos="0"/>
        </w:tabs>
        <w:spacing w:before="120"/>
      </w:pPr>
      <w:r>
        <w:t xml:space="preserve">У випадку </w:t>
      </w:r>
      <w:r w:rsidR="006D07D0">
        <w:t xml:space="preserve">необхідності </w:t>
      </w:r>
      <w:r w:rsidR="003526BC">
        <w:t xml:space="preserve">додаткового </w:t>
      </w:r>
      <w:r w:rsidR="006D07D0">
        <w:t xml:space="preserve">підключення інших рахунків, </w:t>
      </w:r>
      <w:r w:rsidR="00FE0170">
        <w:t>відкритих на ім’я клієнта, які відсутні</w:t>
      </w:r>
      <w:r w:rsidR="006D07D0">
        <w:t xml:space="preserve"> у переліку, </w:t>
      </w:r>
      <w:r w:rsidR="00514733">
        <w:t xml:space="preserve">клієнт </w:t>
      </w:r>
      <w:r w:rsidR="003526BC">
        <w:t>вказує номера</w:t>
      </w:r>
      <w:r w:rsidR="00514733">
        <w:t xml:space="preserve"> таких рахунків у </w:t>
      </w:r>
      <w:r w:rsidR="006D07D0" w:rsidRPr="00514733">
        <w:t>Заяві про підключення.</w:t>
      </w:r>
    </w:p>
    <w:p w:rsidR="00976618" w:rsidRPr="009F2B5B" w:rsidRDefault="00976618" w:rsidP="00976618">
      <w:pPr>
        <w:tabs>
          <w:tab w:val="left" w:pos="0"/>
        </w:tabs>
        <w:spacing w:before="120"/>
      </w:pPr>
      <w:r>
        <w:t xml:space="preserve">В залежності від повноважень, визначених клієнтом, користувачу при реєстрації присвоюється ознака «тип користувача». </w:t>
      </w:r>
      <w:r>
        <w:rPr>
          <w:rFonts w:eastAsia="Calibri"/>
        </w:rPr>
        <w:t>П</w:t>
      </w:r>
      <w:r w:rsidRPr="009F2B5B">
        <w:t>ередбачені типи користувачів із наступними правами:</w:t>
      </w:r>
    </w:p>
    <w:p w:rsidR="00976618" w:rsidRPr="009F2B5B" w:rsidRDefault="00976618" w:rsidP="00976618">
      <w:pPr>
        <w:pStyle w:val="a3"/>
        <w:numPr>
          <w:ilvl w:val="0"/>
          <w:numId w:val="4"/>
        </w:numPr>
        <w:tabs>
          <w:tab w:val="left" w:pos="284"/>
        </w:tabs>
        <w:suppressAutoHyphens/>
        <w:spacing w:before="120"/>
        <w:ind w:left="0" w:firstLine="0"/>
        <w:contextualSpacing w:val="0"/>
      </w:pPr>
      <w:r w:rsidRPr="009F2B5B">
        <w:t xml:space="preserve"> «Користувач клієнта» </w:t>
      </w:r>
      <w:r w:rsidR="00A9181E">
        <w:t xml:space="preserve">– </w:t>
      </w:r>
      <w:r w:rsidRPr="009F2B5B">
        <w:t>має право перегляду повної або часткової інформації про документи та рахунки клієнта, а також право створення</w:t>
      </w:r>
      <w:r>
        <w:t>, перегляду</w:t>
      </w:r>
      <w:r w:rsidRPr="009F2B5B">
        <w:t xml:space="preserve"> документів без права їх візування; </w:t>
      </w:r>
    </w:p>
    <w:p w:rsidR="00976618" w:rsidRPr="009F2B5B" w:rsidRDefault="00976618" w:rsidP="00976618">
      <w:pPr>
        <w:pStyle w:val="a3"/>
        <w:numPr>
          <w:ilvl w:val="0"/>
          <w:numId w:val="4"/>
        </w:numPr>
        <w:tabs>
          <w:tab w:val="left" w:pos="284"/>
        </w:tabs>
        <w:suppressAutoHyphens/>
        <w:spacing w:before="120"/>
        <w:ind w:left="0" w:firstLine="0"/>
        <w:contextualSpacing w:val="0"/>
      </w:pPr>
      <w:r w:rsidRPr="009F2B5B">
        <w:t xml:space="preserve"> «</w:t>
      </w:r>
      <w:r w:rsidRPr="00976618">
        <w:t>Операціоніст</w:t>
      </w:r>
      <w:r w:rsidRPr="009F2B5B">
        <w:t>»</w:t>
      </w:r>
      <w:r w:rsidR="003526BC">
        <w:t xml:space="preserve"> </w:t>
      </w:r>
      <w:r w:rsidR="00A9181E">
        <w:t>–</w:t>
      </w:r>
      <w:r w:rsidRPr="009F2B5B">
        <w:t xml:space="preserve"> має право перегляду повної або часткової інформації про документи та рахунки клієнта, а також право створення</w:t>
      </w:r>
      <w:r>
        <w:t>, перегляду</w:t>
      </w:r>
      <w:r w:rsidRPr="009F2B5B">
        <w:t xml:space="preserve"> документів та </w:t>
      </w:r>
      <w:r w:rsidRPr="00F37108">
        <w:t>право їх візування візою</w:t>
      </w:r>
      <w:r w:rsidR="00F37108" w:rsidRPr="00F37108">
        <w:t>, яка відповідає підпису</w:t>
      </w:r>
      <w:r w:rsidRPr="00F37108">
        <w:t xml:space="preserve"> «Виконавець»;</w:t>
      </w:r>
    </w:p>
    <w:p w:rsidR="00976618" w:rsidRPr="009F2B5B" w:rsidRDefault="00976618" w:rsidP="00976618">
      <w:pPr>
        <w:pStyle w:val="a3"/>
        <w:numPr>
          <w:ilvl w:val="0"/>
          <w:numId w:val="4"/>
        </w:numPr>
        <w:tabs>
          <w:tab w:val="left" w:pos="284"/>
        </w:tabs>
        <w:suppressAutoHyphens/>
        <w:spacing w:before="120"/>
        <w:ind w:left="0" w:firstLine="0"/>
        <w:contextualSpacing w:val="0"/>
        <w:rPr>
          <w:strike/>
        </w:rPr>
      </w:pPr>
      <w:r w:rsidRPr="009F2B5B">
        <w:t xml:space="preserve">«Бухгалтер» </w:t>
      </w:r>
      <w:r w:rsidR="00A9181E">
        <w:t>–</w:t>
      </w:r>
      <w:r w:rsidRPr="009F2B5B">
        <w:t xml:space="preserve"> має право перегляду повної інформації про документи та рахунки клієнта, а також право створення докумен</w:t>
      </w:r>
      <w:r w:rsidR="00F37108">
        <w:t xml:space="preserve">тів та право їх візування візою, яка відповідає підпису </w:t>
      </w:r>
      <w:r w:rsidRPr="009F2B5B">
        <w:t>«Головний бухгалтер</w:t>
      </w:r>
      <w:r w:rsidR="003526BC">
        <w:t>/</w:t>
      </w:r>
      <w:r w:rsidR="003526BC" w:rsidRPr="003526BC">
        <w:t>керівник фінансової служби»</w:t>
      </w:r>
      <w:r w:rsidRPr="009F2B5B">
        <w:t>;</w:t>
      </w:r>
    </w:p>
    <w:p w:rsidR="00976618" w:rsidRPr="009F2B5B" w:rsidRDefault="00976618" w:rsidP="00976618">
      <w:pPr>
        <w:pStyle w:val="a3"/>
        <w:numPr>
          <w:ilvl w:val="0"/>
          <w:numId w:val="4"/>
        </w:numPr>
        <w:tabs>
          <w:tab w:val="left" w:pos="284"/>
        </w:tabs>
        <w:suppressAutoHyphens/>
        <w:spacing w:before="120"/>
        <w:ind w:left="0" w:firstLine="0"/>
        <w:contextualSpacing w:val="0"/>
      </w:pPr>
      <w:r w:rsidRPr="009F2B5B">
        <w:t>«</w:t>
      </w:r>
      <w:r w:rsidR="00C127CC">
        <w:t>Керівник</w:t>
      </w:r>
      <w:r w:rsidRPr="009F2B5B">
        <w:t xml:space="preserve">» </w:t>
      </w:r>
      <w:r w:rsidR="00A9181E">
        <w:t>–</w:t>
      </w:r>
      <w:r w:rsidRPr="009F2B5B">
        <w:t xml:space="preserve"> має </w:t>
      </w:r>
      <w:r w:rsidR="008B11F3" w:rsidRPr="008B36BC">
        <w:t xml:space="preserve">право </w:t>
      </w:r>
      <w:r w:rsidR="008B11F3">
        <w:t xml:space="preserve">повного перегляду інформації, </w:t>
      </w:r>
      <w:r w:rsidR="008B11F3" w:rsidRPr="008B36BC">
        <w:t>створення документів та право їх візування візою, яка відповідає підпису «Керівник». Виключно для осіб, які згідно із карткою із зразками підписів та відбитка печатки мають право першого підпису</w:t>
      </w:r>
      <w:r w:rsidRPr="009F2B5B">
        <w:t>;</w:t>
      </w:r>
    </w:p>
    <w:p w:rsidR="00976618" w:rsidRPr="009F2B5B" w:rsidRDefault="00976618" w:rsidP="00976618">
      <w:pPr>
        <w:pStyle w:val="a3"/>
        <w:numPr>
          <w:ilvl w:val="0"/>
          <w:numId w:val="4"/>
        </w:numPr>
        <w:tabs>
          <w:tab w:val="left" w:pos="284"/>
        </w:tabs>
        <w:suppressAutoHyphens/>
        <w:spacing w:before="120"/>
        <w:ind w:left="0" w:firstLine="0"/>
        <w:contextualSpacing w:val="0"/>
      </w:pPr>
      <w:r w:rsidRPr="001D2CBB">
        <w:lastRenderedPageBreak/>
        <w:t>«</w:t>
      </w:r>
      <w:r w:rsidR="001D2CBB" w:rsidRPr="001D2CBB">
        <w:t>Уповноважена особа</w:t>
      </w:r>
      <w:r w:rsidRPr="001D2CBB">
        <w:t xml:space="preserve">» </w:t>
      </w:r>
      <w:r w:rsidR="00A9181E" w:rsidRPr="001D2CBB">
        <w:t>–</w:t>
      </w:r>
      <w:r w:rsidRPr="001D2CBB">
        <w:t xml:space="preserve"> має</w:t>
      </w:r>
      <w:r w:rsidRPr="009F2B5B">
        <w:t xml:space="preserve"> </w:t>
      </w:r>
      <w:r w:rsidR="001D2CBB" w:rsidRPr="008B36BC">
        <w:t xml:space="preserve">право </w:t>
      </w:r>
      <w:r w:rsidR="001D2CBB">
        <w:t xml:space="preserve">повного перегляду інформації, </w:t>
      </w:r>
      <w:r w:rsidR="001D2CBB" w:rsidRPr="008B36BC">
        <w:t xml:space="preserve">створення документів та право їх візування візою, яка відповідає підпису «Керівник» </w:t>
      </w:r>
      <w:r w:rsidR="001D2CBB" w:rsidRPr="008B36BC">
        <w:rPr>
          <w:b/>
        </w:rPr>
        <w:t>за виключенням права візування платіжних доручень</w:t>
      </w:r>
      <w:r w:rsidR="001D2CBB">
        <w:t xml:space="preserve">. </w:t>
      </w:r>
      <w:r w:rsidR="001D2CBB" w:rsidRPr="00BA511C">
        <w:t>Для осіб, як</w:t>
      </w:r>
      <w:r w:rsidR="001D2CBB">
        <w:t>и</w:t>
      </w:r>
      <w:r w:rsidR="001D2CBB" w:rsidRPr="00BA511C">
        <w:t>м згідно з розпорядчими документами керівником установи делеговано право підписання окремих документів, але в яких відсу</w:t>
      </w:r>
      <w:r w:rsidR="001D2CBB">
        <w:t>т</w:t>
      </w:r>
      <w:r w:rsidR="001D2CBB" w:rsidRPr="00BA511C">
        <w:t>н</w:t>
      </w:r>
      <w:r w:rsidR="001D2CBB">
        <w:t>є</w:t>
      </w:r>
      <w:r w:rsidR="001D2CBB" w:rsidRPr="00BA511C">
        <w:t xml:space="preserve"> право накладання першого підпису відповідно до картки зразків підпису та відбитка печатки</w:t>
      </w:r>
      <w:r w:rsidRPr="009F2B5B">
        <w:t xml:space="preserve">; </w:t>
      </w:r>
    </w:p>
    <w:p w:rsidR="00976618" w:rsidRPr="009F2B5B" w:rsidRDefault="00976618" w:rsidP="00976618">
      <w:pPr>
        <w:pStyle w:val="a3"/>
        <w:numPr>
          <w:ilvl w:val="0"/>
          <w:numId w:val="4"/>
        </w:numPr>
        <w:tabs>
          <w:tab w:val="left" w:pos="284"/>
        </w:tabs>
        <w:suppressAutoHyphens/>
        <w:spacing w:before="120"/>
        <w:ind w:left="0" w:firstLine="0"/>
        <w:contextualSpacing w:val="0"/>
      </w:pPr>
      <w:r w:rsidRPr="009F2B5B">
        <w:t xml:space="preserve">«Печатка» </w:t>
      </w:r>
      <w:r w:rsidR="00A9181E">
        <w:t>–</w:t>
      </w:r>
      <w:r w:rsidRPr="009F2B5B">
        <w:t xml:space="preserve"> має право перегляду повної інформації про документи та рахунки клієнта, а також право створення документів та право їх візування візою</w:t>
      </w:r>
      <w:r w:rsidR="00F37108">
        <w:t>,</w:t>
      </w:r>
      <w:r w:rsidRPr="009F2B5B">
        <w:t xml:space="preserve"> </w:t>
      </w:r>
      <w:r w:rsidR="00F37108">
        <w:t xml:space="preserve">яка відповідає </w:t>
      </w:r>
      <w:r w:rsidRPr="009F2B5B">
        <w:t>«Печатка</w:t>
      </w:r>
      <w:r w:rsidR="00B06A47">
        <w:t xml:space="preserve"> установи</w:t>
      </w:r>
      <w:r w:rsidRPr="009F2B5B">
        <w:t>».</w:t>
      </w:r>
    </w:p>
    <w:p w:rsidR="00976618" w:rsidRPr="009F2B5B" w:rsidRDefault="00976618" w:rsidP="00976618">
      <w:pPr>
        <w:tabs>
          <w:tab w:val="left" w:pos="284"/>
        </w:tabs>
        <w:spacing w:before="120"/>
      </w:pPr>
      <w:r w:rsidRPr="009F2B5B">
        <w:t>Права групи користувачів типу «Бухгалтер» та «</w:t>
      </w:r>
      <w:r w:rsidR="00E65C0D">
        <w:t>Керівник</w:t>
      </w:r>
      <w:r w:rsidRPr="009F2B5B">
        <w:t xml:space="preserve">» можуть </w:t>
      </w:r>
      <w:r w:rsidR="00F37108">
        <w:t>бути надані виключно особам, яки</w:t>
      </w:r>
      <w:r w:rsidRPr="009F2B5B">
        <w:t>м згідно із карткою із зразками підписів та відбитка печатки надано відповідно право першого та другого підписів на платіжних та розрахункових документах.</w:t>
      </w:r>
    </w:p>
    <w:p w:rsidR="00976618" w:rsidRPr="009F2B5B" w:rsidRDefault="00976618" w:rsidP="00976618">
      <w:pPr>
        <w:tabs>
          <w:tab w:val="left" w:pos="284"/>
        </w:tabs>
        <w:spacing w:before="120"/>
      </w:pPr>
      <w:r w:rsidRPr="009F2B5B">
        <w:t xml:space="preserve">Права групи користувачів типу «Користувач клієнта», </w:t>
      </w:r>
      <w:r w:rsidRPr="00976618">
        <w:t>«Операціоніст</w:t>
      </w:r>
      <w:r w:rsidRPr="009F2B5B">
        <w:t>», «</w:t>
      </w:r>
      <w:r w:rsidR="00E65C0D" w:rsidRPr="001D2CBB">
        <w:t>Уповноважена особа</w:t>
      </w:r>
      <w:r w:rsidRPr="009F2B5B">
        <w:t>» можуть бути надані посадовим особам за визначенням клієнта у відповідності до штатного розпису, посадових обов’язків та розпорядчих документів клієнта.</w:t>
      </w:r>
    </w:p>
    <w:p w:rsidR="00976618" w:rsidRPr="009F2B5B" w:rsidRDefault="00976618" w:rsidP="00976618">
      <w:pPr>
        <w:tabs>
          <w:tab w:val="left" w:pos="284"/>
        </w:tabs>
        <w:spacing w:before="120"/>
        <w:rPr>
          <w:color w:val="333333"/>
          <w:shd w:val="clear" w:color="auto" w:fill="FFFFFF"/>
        </w:rPr>
      </w:pPr>
      <w:r w:rsidRPr="00976618">
        <w:t xml:space="preserve">Під обліковим записом користувача типу «Печатка» в СДО мають право працювати </w:t>
      </w:r>
      <w:r w:rsidRPr="00976618">
        <w:rPr>
          <w:shd w:val="clear" w:color="auto" w:fill="FFFFFF"/>
        </w:rPr>
        <w:t>уповноважені працівники клієнта</w:t>
      </w:r>
      <w:r w:rsidRPr="00976618">
        <w:t xml:space="preserve">, </w:t>
      </w:r>
      <w:r w:rsidRPr="00976618">
        <w:rPr>
          <w:shd w:val="clear" w:color="auto" w:fill="FFFFFF"/>
        </w:rPr>
        <w:t>відповідальні за застосування кваліфікованої електронної печатки</w:t>
      </w:r>
      <w:r w:rsidRPr="009F2B5B">
        <w:rPr>
          <w:color w:val="333333"/>
          <w:shd w:val="clear" w:color="auto" w:fill="FFFFFF"/>
        </w:rPr>
        <w:t>.</w:t>
      </w:r>
    </w:p>
    <w:p w:rsidR="00976618" w:rsidRPr="006B1FBB" w:rsidRDefault="006B1FBB" w:rsidP="00976618">
      <w:pPr>
        <w:pStyle w:val="a3"/>
        <w:numPr>
          <w:ilvl w:val="0"/>
          <w:numId w:val="1"/>
        </w:numPr>
        <w:tabs>
          <w:tab w:val="left" w:pos="0"/>
        </w:tabs>
        <w:spacing w:before="120"/>
        <w:rPr>
          <w:b/>
          <w:u w:val="single"/>
        </w:rPr>
      </w:pPr>
      <w:r>
        <w:rPr>
          <w:b/>
          <w:u w:val="single"/>
        </w:rPr>
        <w:t>Зміни у поряд</w:t>
      </w:r>
      <w:r w:rsidR="00976618" w:rsidRPr="006B1FBB">
        <w:rPr>
          <w:b/>
          <w:u w:val="single"/>
        </w:rPr>
        <w:t>к</w:t>
      </w:r>
      <w:r>
        <w:rPr>
          <w:b/>
          <w:u w:val="single"/>
        </w:rPr>
        <w:t>у</w:t>
      </w:r>
      <w:r w:rsidR="00976618" w:rsidRPr="006B1FBB">
        <w:rPr>
          <w:b/>
          <w:u w:val="single"/>
        </w:rPr>
        <w:t xml:space="preserve"> візування документів в СДО</w:t>
      </w:r>
    </w:p>
    <w:p w:rsidR="00C20818" w:rsidRDefault="006E23CE" w:rsidP="00976618">
      <w:pPr>
        <w:spacing w:before="120"/>
        <w:ind w:firstLine="567"/>
      </w:pPr>
      <w:r>
        <w:t xml:space="preserve">Порядкові номера віз для </w:t>
      </w:r>
      <w:r w:rsidR="00F37108">
        <w:t xml:space="preserve">підписання електронних </w:t>
      </w:r>
      <w:r>
        <w:t xml:space="preserve">документів скасовуються. </w:t>
      </w:r>
    </w:p>
    <w:p w:rsidR="00C20818" w:rsidRPr="00233B09" w:rsidRDefault="00C20818" w:rsidP="00976618">
      <w:pPr>
        <w:spacing w:before="120"/>
        <w:ind w:firstLine="567"/>
      </w:pPr>
      <w:r w:rsidRPr="00233B09">
        <w:t xml:space="preserve">За ознакою «тип користувача» </w:t>
      </w:r>
      <w:r w:rsidR="00B0410A" w:rsidRPr="00233B09">
        <w:t>к</w:t>
      </w:r>
      <w:r w:rsidRPr="00233B09">
        <w:t>ористувачі об’єднуються у групи візування документів. Передбачені наступні групи:</w:t>
      </w:r>
    </w:p>
    <w:p w:rsidR="00C20818" w:rsidRPr="00233B09" w:rsidRDefault="00B0410A" w:rsidP="00B0410A">
      <w:pPr>
        <w:pStyle w:val="a3"/>
        <w:numPr>
          <w:ilvl w:val="0"/>
          <w:numId w:val="5"/>
        </w:numPr>
        <w:ind w:left="284" w:hanging="284"/>
      </w:pPr>
      <w:r w:rsidRPr="00E03AE1">
        <w:t>«Виконавець»</w:t>
      </w:r>
      <w:r w:rsidRPr="00233B09">
        <w:t xml:space="preserve"> (необов’язкова)  - накладання візи здійснюють особи, яким визначено тип користувача «Операціоніст»</w:t>
      </w:r>
      <w:r w:rsidR="00C20818" w:rsidRPr="00233B09">
        <w:t>;</w:t>
      </w:r>
    </w:p>
    <w:p w:rsidR="00C20818" w:rsidRPr="00233B09" w:rsidRDefault="00C20818" w:rsidP="00B0410A">
      <w:pPr>
        <w:pStyle w:val="a3"/>
        <w:numPr>
          <w:ilvl w:val="0"/>
          <w:numId w:val="5"/>
        </w:numPr>
        <w:ind w:left="284" w:hanging="284"/>
      </w:pPr>
      <w:r w:rsidRPr="00E03AE1">
        <w:t>«</w:t>
      </w:r>
      <w:r w:rsidR="00B0410A" w:rsidRPr="00E03AE1">
        <w:t>Головний б</w:t>
      </w:r>
      <w:r w:rsidRPr="00E03AE1">
        <w:t>ухгалтер»</w:t>
      </w:r>
      <w:r w:rsidRPr="00233B09">
        <w:t xml:space="preserve"> – </w:t>
      </w:r>
      <w:r w:rsidR="00B0410A" w:rsidRPr="00233B09">
        <w:t>накладання візи здійснюють особи, яким визначено тип користувача «Бухгалтер»</w:t>
      </w:r>
      <w:r w:rsidRPr="00233B09">
        <w:t>;</w:t>
      </w:r>
    </w:p>
    <w:p w:rsidR="00C20818" w:rsidRPr="00233B09" w:rsidRDefault="00C20818" w:rsidP="00B0410A">
      <w:pPr>
        <w:pStyle w:val="a3"/>
        <w:numPr>
          <w:ilvl w:val="0"/>
          <w:numId w:val="5"/>
        </w:numPr>
        <w:ind w:left="284" w:hanging="284"/>
      </w:pPr>
      <w:r w:rsidRPr="00E03AE1">
        <w:t>«Керівник»</w:t>
      </w:r>
      <w:r w:rsidRPr="00233B09">
        <w:t xml:space="preserve"> – </w:t>
      </w:r>
      <w:r w:rsidR="00B0410A" w:rsidRPr="00233B09">
        <w:t>накладання візи здійснюють особи, яким визначено тип користувача «</w:t>
      </w:r>
      <w:r w:rsidR="00E65C0D">
        <w:t>Керівник</w:t>
      </w:r>
      <w:r w:rsidR="00B0410A" w:rsidRPr="00233B09">
        <w:t>» та «</w:t>
      </w:r>
      <w:r w:rsidR="00E65C0D" w:rsidRPr="001D2CBB">
        <w:t>Уповноважена особа</w:t>
      </w:r>
      <w:r w:rsidR="00B0410A" w:rsidRPr="00233B09">
        <w:t>»</w:t>
      </w:r>
      <w:r w:rsidRPr="00233B09">
        <w:t>;</w:t>
      </w:r>
    </w:p>
    <w:p w:rsidR="00C20818" w:rsidRPr="00233B09" w:rsidRDefault="00B0410A" w:rsidP="00B0410A">
      <w:pPr>
        <w:pStyle w:val="a3"/>
        <w:numPr>
          <w:ilvl w:val="0"/>
          <w:numId w:val="5"/>
        </w:numPr>
        <w:ind w:left="284" w:hanging="284"/>
      </w:pPr>
      <w:r w:rsidRPr="00233B09">
        <w:t xml:space="preserve">«Печатка»  - накладання візи здійснюють </w:t>
      </w:r>
      <w:r w:rsidR="00233B09" w:rsidRPr="00233B09">
        <w:t>особи, які працюють  під обліковим записом користувача типу «Печатка»</w:t>
      </w:r>
      <w:r w:rsidR="00C20818" w:rsidRPr="00233B09">
        <w:t>.</w:t>
      </w:r>
    </w:p>
    <w:p w:rsidR="00B06A47" w:rsidRPr="00823E00" w:rsidRDefault="009447DC" w:rsidP="00233B09">
      <w:pPr>
        <w:spacing w:before="120"/>
        <w:ind w:firstLine="567"/>
        <w:rPr>
          <w:strike/>
        </w:rPr>
      </w:pPr>
      <w:r>
        <w:t xml:space="preserve">В СДО для кожного виду електронного документа застосовується типовий порядок накладання підписів (типова схема візування), який відповідає вимогам нормативних документів та базується на зазначених групах візування. </w:t>
      </w:r>
    </w:p>
    <w:p w:rsidR="00B06A47" w:rsidRDefault="00B06A47" w:rsidP="002B02B6">
      <w:pPr>
        <w:tabs>
          <w:tab w:val="left" w:pos="0"/>
        </w:tabs>
        <w:spacing w:before="120"/>
      </w:pPr>
      <w:r>
        <w:t>З</w:t>
      </w:r>
      <w:r w:rsidRPr="009F2B5B">
        <w:t xml:space="preserve"> урахуванням штатного розпису клієнта</w:t>
      </w:r>
      <w:r>
        <w:t xml:space="preserve"> та</w:t>
      </w:r>
      <w:r w:rsidRPr="009F2B5B">
        <w:t xml:space="preserve"> внутрішньо</w:t>
      </w:r>
      <w:r>
        <w:t>ї організації роботи, клієнт може застосовувати індивідуальн</w:t>
      </w:r>
      <w:r w:rsidR="00EA496B">
        <w:t>ий порядок накладання підписів, зокрема застосовувати додаткові візи</w:t>
      </w:r>
      <w:r>
        <w:t xml:space="preserve">. У такому випадку разом із Заявою про підключення подається </w:t>
      </w:r>
      <w:r w:rsidR="00823E00">
        <w:t>І</w:t>
      </w:r>
      <w:r>
        <w:t>ндивідуальна схема візування документів клієнта.</w:t>
      </w:r>
    </w:p>
    <w:p w:rsidR="00B06A47" w:rsidRDefault="00B06A47" w:rsidP="00B06A47">
      <w:pPr>
        <w:tabs>
          <w:tab w:val="left" w:pos="0"/>
        </w:tabs>
        <w:spacing w:before="120"/>
      </w:pPr>
      <w:r w:rsidRPr="00E91111">
        <w:t>Документи</w:t>
      </w:r>
      <w:r w:rsidR="00E03AE1">
        <w:t>,</w:t>
      </w:r>
      <w:r w:rsidRPr="00E91111">
        <w:t xml:space="preserve"> які у випадках, передбачених законодавством, потребують погодження або затвердження іншою установою, можуть бути </w:t>
      </w:r>
      <w:r w:rsidRPr="006B1FBB">
        <w:rPr>
          <w:b/>
        </w:rPr>
        <w:t xml:space="preserve">погоджені в електронному </w:t>
      </w:r>
      <w:r w:rsidRPr="00E91111">
        <w:t xml:space="preserve">вигляді безпосередньо в СДО. </w:t>
      </w:r>
      <w:r>
        <w:t xml:space="preserve"> На даному етапі реалізовано погодження в електронному вигляді для </w:t>
      </w:r>
      <w:r w:rsidR="00823E00">
        <w:t>Е</w:t>
      </w:r>
      <w:r>
        <w:t xml:space="preserve">лектронного подання про </w:t>
      </w:r>
      <w:r w:rsidR="006B1FBB">
        <w:t>повер</w:t>
      </w:r>
      <w:r>
        <w:t xml:space="preserve">нення коштів з бюджету та для  </w:t>
      </w:r>
      <w:r w:rsidR="00823E00">
        <w:t>Р</w:t>
      </w:r>
      <w:r w:rsidR="006B1FBB">
        <w:t>озпоряджень про виділення коштів із загального/спеціального фонду місцевих бюджетів.</w:t>
      </w:r>
    </w:p>
    <w:p w:rsidR="00E03AE1" w:rsidRDefault="006B1FBB" w:rsidP="00B06A47">
      <w:pPr>
        <w:tabs>
          <w:tab w:val="left" w:pos="0"/>
        </w:tabs>
        <w:spacing w:before="120"/>
      </w:pPr>
      <w:r>
        <w:t xml:space="preserve">Для застосування погодження в електронному </w:t>
      </w:r>
      <w:r w:rsidR="00A9181E" w:rsidRPr="00E03AE1">
        <w:t>вигляді</w:t>
      </w:r>
      <w:r w:rsidR="00A9181E">
        <w:t xml:space="preserve"> </w:t>
      </w:r>
      <w:r w:rsidR="00E03AE1">
        <w:t>клієнт, яки</w:t>
      </w:r>
      <w:r>
        <w:t>й виконує функцію погодження</w:t>
      </w:r>
      <w:r w:rsidR="00F00AAD">
        <w:t xml:space="preserve"> та/або затвердження</w:t>
      </w:r>
      <w:r>
        <w:t xml:space="preserve"> документів інших установ</w:t>
      </w:r>
      <w:r w:rsidR="00F00AAD">
        <w:t>,</w:t>
      </w:r>
      <w:r w:rsidR="00E03AE1">
        <w:t xml:space="preserve"> проставляє відповідні</w:t>
      </w:r>
      <w:r>
        <w:t xml:space="preserve"> відм</w:t>
      </w:r>
      <w:r w:rsidR="00E03AE1">
        <w:t>ітки</w:t>
      </w:r>
      <w:r>
        <w:t xml:space="preserve"> у Заяві про підключення</w:t>
      </w:r>
      <w:r w:rsidR="00E03AE1">
        <w:t xml:space="preserve"> та у персональних Заявках</w:t>
      </w:r>
      <w:r>
        <w:t xml:space="preserve"> </w:t>
      </w:r>
      <w:r w:rsidR="00E03AE1">
        <w:t>осіб</w:t>
      </w:r>
      <w:r w:rsidR="00F00AAD">
        <w:t xml:space="preserve">, які безпосередньо </w:t>
      </w:r>
      <w:r w:rsidR="00E03AE1">
        <w:t>здійснюють</w:t>
      </w:r>
      <w:r w:rsidR="00F00AAD">
        <w:t xml:space="preserve"> погодження та/або затвердження документів</w:t>
      </w:r>
      <w:r w:rsidR="00E03AE1">
        <w:t>.</w:t>
      </w:r>
    </w:p>
    <w:p w:rsidR="006B1FBB" w:rsidRDefault="00F00AAD" w:rsidP="00B06A47">
      <w:pPr>
        <w:tabs>
          <w:tab w:val="left" w:pos="0"/>
        </w:tabs>
        <w:spacing w:before="120"/>
      </w:pPr>
      <w:r>
        <w:t xml:space="preserve"> </w:t>
      </w:r>
      <w:r w:rsidR="006B1FBB">
        <w:t>Клієнт, документи якого будуть погоджуватись в електронному вигляді</w:t>
      </w:r>
      <w:r>
        <w:t xml:space="preserve">, </w:t>
      </w:r>
      <w:r w:rsidR="006B1FBB">
        <w:t xml:space="preserve"> подає Індивідуальну схему візування документів із відмітками щодо </w:t>
      </w:r>
      <w:r>
        <w:t xml:space="preserve">наявності </w:t>
      </w:r>
      <w:r w:rsidR="006B1FBB">
        <w:t>віз погоджувального органу.</w:t>
      </w:r>
    </w:p>
    <w:p w:rsidR="00B06A47" w:rsidRPr="008D2ABE" w:rsidRDefault="00B06A47" w:rsidP="00E025A5">
      <w:pPr>
        <w:ind w:firstLine="567"/>
      </w:pPr>
    </w:p>
    <w:p w:rsidR="00926244" w:rsidRPr="008D2ABE" w:rsidRDefault="00926244" w:rsidP="00926244">
      <w:pPr>
        <w:ind w:left="567" w:firstLine="0"/>
      </w:pPr>
    </w:p>
    <w:p w:rsidR="00926244" w:rsidRPr="008D2ABE" w:rsidRDefault="00926244" w:rsidP="00926244">
      <w:pPr>
        <w:pStyle w:val="a3"/>
        <w:ind w:left="0" w:firstLine="567"/>
      </w:pPr>
    </w:p>
    <w:sectPr w:rsidR="00926244" w:rsidRPr="008D2ABE" w:rsidSect="00514733">
      <w:footerReference w:type="default" r:id="rId7"/>
      <w:pgSz w:w="11906" w:h="16838"/>
      <w:pgMar w:top="993" w:right="850" w:bottom="1135" w:left="1701" w:header="397" w:footer="3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F3" w:rsidRDefault="008B11F3" w:rsidP="008D1550">
      <w:r>
        <w:separator/>
      </w:r>
    </w:p>
  </w:endnote>
  <w:endnote w:type="continuationSeparator" w:id="0">
    <w:p w:rsidR="008B11F3" w:rsidRDefault="008B11F3" w:rsidP="008D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340196"/>
      <w:docPartObj>
        <w:docPartGallery w:val="Page Numbers (Bottom of Page)"/>
        <w:docPartUnique/>
      </w:docPartObj>
    </w:sdtPr>
    <w:sdtContent>
      <w:p w:rsidR="008B11F3" w:rsidRDefault="008B11F3">
        <w:pPr>
          <w:pStyle w:val="a8"/>
          <w:jc w:val="right"/>
        </w:pPr>
        <w:fldSimple w:instr=" PAGE   \* MERGEFORMAT ">
          <w:r w:rsidR="00E65C0D">
            <w:rPr>
              <w:noProof/>
            </w:rPr>
            <w:t>4</w:t>
          </w:r>
        </w:fldSimple>
      </w:p>
    </w:sdtContent>
  </w:sdt>
  <w:p w:rsidR="008B11F3" w:rsidRDefault="008B11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F3" w:rsidRDefault="008B11F3" w:rsidP="008D1550">
      <w:r>
        <w:separator/>
      </w:r>
    </w:p>
  </w:footnote>
  <w:footnote w:type="continuationSeparator" w:id="0">
    <w:p w:rsidR="008B11F3" w:rsidRDefault="008B11F3" w:rsidP="008D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FE5"/>
    <w:multiLevelType w:val="hybridMultilevel"/>
    <w:tmpl w:val="5114DE38"/>
    <w:lvl w:ilvl="0" w:tplc="77C2CA80">
      <w:start w:val="5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DC2522"/>
    <w:multiLevelType w:val="hybridMultilevel"/>
    <w:tmpl w:val="93FA4F16"/>
    <w:lvl w:ilvl="0" w:tplc="0B8C629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C17F97"/>
    <w:multiLevelType w:val="hybridMultilevel"/>
    <w:tmpl w:val="0E4AA5FC"/>
    <w:lvl w:ilvl="0" w:tplc="EFC88E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BFF1D6E"/>
    <w:multiLevelType w:val="hybridMultilevel"/>
    <w:tmpl w:val="9160A1F0"/>
    <w:lvl w:ilvl="0" w:tplc="9BCC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BE3A9C"/>
    <w:multiLevelType w:val="hybridMultilevel"/>
    <w:tmpl w:val="6B7AA6F6"/>
    <w:lvl w:ilvl="0" w:tplc="F936225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68A"/>
    <w:rsid w:val="0007578D"/>
    <w:rsid w:val="001C429C"/>
    <w:rsid w:val="001D2CBB"/>
    <w:rsid w:val="001D6F20"/>
    <w:rsid w:val="00233B09"/>
    <w:rsid w:val="002B02B6"/>
    <w:rsid w:val="003526BC"/>
    <w:rsid w:val="0036168A"/>
    <w:rsid w:val="00382061"/>
    <w:rsid w:val="003A604B"/>
    <w:rsid w:val="00514733"/>
    <w:rsid w:val="00561086"/>
    <w:rsid w:val="00570FFA"/>
    <w:rsid w:val="005A027E"/>
    <w:rsid w:val="005B75C8"/>
    <w:rsid w:val="00641BD1"/>
    <w:rsid w:val="006B1FBB"/>
    <w:rsid w:val="006D07D0"/>
    <w:rsid w:val="006E23CE"/>
    <w:rsid w:val="00731174"/>
    <w:rsid w:val="007B10EA"/>
    <w:rsid w:val="00823E00"/>
    <w:rsid w:val="00844EA4"/>
    <w:rsid w:val="00891438"/>
    <w:rsid w:val="008A6B85"/>
    <w:rsid w:val="008B11F3"/>
    <w:rsid w:val="008D1550"/>
    <w:rsid w:val="008D2ABE"/>
    <w:rsid w:val="008F2E05"/>
    <w:rsid w:val="00926244"/>
    <w:rsid w:val="0094048B"/>
    <w:rsid w:val="009447DC"/>
    <w:rsid w:val="00976618"/>
    <w:rsid w:val="00A74EC0"/>
    <w:rsid w:val="00A9181E"/>
    <w:rsid w:val="00AA3D73"/>
    <w:rsid w:val="00AC4184"/>
    <w:rsid w:val="00AD19EC"/>
    <w:rsid w:val="00AF5C8A"/>
    <w:rsid w:val="00B0410A"/>
    <w:rsid w:val="00B06A47"/>
    <w:rsid w:val="00BA0EE5"/>
    <w:rsid w:val="00C127CC"/>
    <w:rsid w:val="00C20818"/>
    <w:rsid w:val="00D62BE8"/>
    <w:rsid w:val="00DB4070"/>
    <w:rsid w:val="00E025A5"/>
    <w:rsid w:val="00E03AE1"/>
    <w:rsid w:val="00E65C0D"/>
    <w:rsid w:val="00EA09C2"/>
    <w:rsid w:val="00EA496B"/>
    <w:rsid w:val="00F00AAD"/>
    <w:rsid w:val="00F37108"/>
    <w:rsid w:val="00F56F25"/>
    <w:rsid w:val="00FA34DB"/>
    <w:rsid w:val="00FE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8A"/>
    <w:pPr>
      <w:ind w:left="720"/>
      <w:contextualSpacing/>
    </w:pPr>
  </w:style>
  <w:style w:type="table" w:styleId="a4">
    <w:name w:val="Table Grid"/>
    <w:basedOn w:val="a1"/>
    <w:uiPriority w:val="59"/>
    <w:rsid w:val="008D2AB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D2ABE"/>
    <w:pPr>
      <w:widowControl w:val="0"/>
      <w:suppressLineNumbers/>
      <w:suppressAutoHyphens/>
      <w:ind w:firstLine="0"/>
      <w:jc w:val="left"/>
    </w:pPr>
    <w:rPr>
      <w:rFonts w:eastAsia="Lucida Sans Unicode" w:cs="Mangal"/>
      <w:sz w:val="24"/>
      <w:szCs w:val="24"/>
      <w:lang w:val="ru-RU"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8D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550"/>
  </w:style>
  <w:style w:type="paragraph" w:styleId="a8">
    <w:name w:val="footer"/>
    <w:basedOn w:val="a"/>
    <w:link w:val="a9"/>
    <w:uiPriority w:val="99"/>
    <w:unhideWhenUsed/>
    <w:rsid w:val="008D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2800-KachanovskaT</dc:creator>
  <cp:lastModifiedBy>2800-melnichykv</cp:lastModifiedBy>
  <cp:revision>11</cp:revision>
  <dcterms:created xsi:type="dcterms:W3CDTF">2021-12-28T18:04:00Z</dcterms:created>
  <dcterms:modified xsi:type="dcterms:W3CDTF">2022-01-13T13:04:00Z</dcterms:modified>
</cp:coreProperties>
</file>