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9692B"/>
          <w:spacing w:val="20"/>
          <w:sz w:val="18"/>
          <w:szCs w:val="18"/>
        </w:rPr>
        <w:t xml:space="preserve">MẪU THAM KHẢO CỦA FUNDRAISING.VN</w:t>
      </w:r>
    </w:p>
    <w:p>
      <w:pPr>
        <w:spacing w:after="80"/>
        <w:jc w:val="center"/>
      </w:pPr>
      <w:r>
        <w:rPr>
          <w:b/>
          <w:bCs/>
          <w:color w:val="1C2B4A"/>
          <w:sz w:val="32"/>
          <w:szCs w:val="32"/>
        </w:rPr>
        <w:t xml:space="preserve">THOẢ THUẬN VESTING CỔ PHẦN CỦA CỔ ĐÔNG SÁNG LẬP</w:t>
      </w:r>
    </w:p>
    <w:p>
      <w:pPr>
        <w:spacing w:after="240"/>
        <w:jc w:val="center"/>
      </w:pPr>
      <w:r>
        <w:rPr>
          <w:color w:val="5B6577"/>
          <w:sz w:val="22"/>
          <w:szCs w:val="22"/>
        </w:rPr>
        <w:t xml:space="preserve">Dành cho công ty cổ phần tại Việt Nam, vòng angel và pre-seed</w:t>
      </w:r>
    </w:p>
    <w:tbl>
      <w:tblPr>
        <w:tblW w:type="dxa" w:w="9638"/>
        <w:tblBorders>
          <w:top w:val="single" w:color="D9692B" w:sz="12"/>
          <w:left w:val="single" w:color="C9CFDA" w:sz="4"/>
          <w:bottom w:val="single" w:color="C9CFDA" w:sz="4"/>
          <w:right w:val="single" w:color="C9CFDA" w:sz="4"/>
          <w:insideH w:val="single" w:color="auto" w:sz="4"/>
          <w:insideV w:val="single" w:color="auto" w:sz="4"/>
        </w:tblBorders>
      </w:tblPr>
      <w:tblGrid>
        <w:gridCol w:w="9638"/>
      </w:tblGrid>
      <w:tr>
        <w:tc>
          <w:tcPr>
            <w:tcW w:type="dxa" w:w="9638"/>
            <w:shd w:fill="FFF8F3" w:color="auto" w:val="clear"/>
            <w:tcMar>
              <w:top w:type="dxa" w:w="80"/>
              <w:left w:type="dxa" w:w="120"/>
              <w:bottom w:type="dxa" w:w="80"/>
              <w:right w:type="dxa" w:w="120"/>
            </w:tcMar>
          </w:tcPr>
          <w:p>
            <w:pPr>
              <w:spacing w:after="60" w:line="264"/>
            </w:pPr>
            <w:r>
              <w:rPr>
                <w:b/>
                <w:bCs/>
                <w:sz w:val="20"/>
                <w:szCs w:val="20"/>
              </w:rPr>
              <w:t xml:space="preserve">Đọc trước khi dùng</w:t>
            </w:r>
          </w:p>
          <w:p>
            <w:pPr>
              <w:spacing w:after="60" w:line="264"/>
            </w:pPr>
            <w:r>
              <w:rPr>
                <w:b w:val="false"/>
                <w:bCs w:val="false"/>
                <w:sz w:val="20"/>
                <w:szCs w:val="20"/>
              </w:rPr>
              <w:t xml:space="preserve">Đây là mẫu tham khảo để các đồng sáng lập hiểu cấu trúc và thống nhất các lựa chọn chính trước khi làm việc với luật sư. Mẫu không phải ý kiến tư vấn pháp lý và chưa được điều chỉnh cho trường hợp cụ thể của bạn.</w:t>
            </w:r>
          </w:p>
          <w:p>
            <w:pPr>
              <w:spacing w:after="60" w:line="264"/>
            </w:pPr>
            <w:r>
              <w:rPr>
                <w:b w:val="false"/>
                <w:bCs w:val="false"/>
                <w:sz w:val="20"/>
                <w:szCs w:val="20"/>
              </w:rPr>
              <w:t xml:space="preserve">Các ô tô nền cam như </w:t>
            </w:r>
            <w:r>
              <w:rPr>
                <w:b w:val="false"/>
                <w:bCs w:val="false"/>
                <w:sz w:val="20"/>
                <w:szCs w:val="20"/>
                <w:shd w:fill="FBE7DA" w:color="auto" w:val="clear"/>
              </w:rPr>
              <w:t xml:space="preserve">[Tên công ty]</w:t>
            </w:r>
            <w:r>
              <w:rPr>
                <w:b w:val="false"/>
                <w:bCs w:val="false"/>
                <w:sz w:val="20"/>
                <w:szCs w:val="20"/>
              </w:rPr>
              <w:t xml:space="preserve"> là chỗ cần điền hoặc chọn. Đoạn in nghiêng có viền cam là ghi chú giải thích, xoá đi trước khi ký.</w:t>
            </w:r>
          </w:p>
          <w:p>
            <w:pPr>
              <w:spacing w:after="60" w:line="264"/>
            </w:pPr>
            <w:r>
              <w:rPr>
                <w:b w:val="false"/>
                <w:bCs w:val="false"/>
                <w:sz w:val="20"/>
                <w:szCs w:val="20"/>
              </w:rPr>
              <w:t xml:space="preserve">Bản tiếng Anh tương ứng có trên cùng trang tải mẫu. Nếu ký song ngữ, ghi rõ bản nào được ưu tiên khi có khác biệt.</w:t>
            </w:r>
          </w:p>
        </w:tc>
      </w:tr>
    </w:tbl>
    <w:p>
      <w:pPr>
        <w:spacing w:after="160"/>
      </w:pPr>
    </w:p>
    <w:p>
      <w:pPr>
        <w:pStyle w:val="Heading1"/>
        <w:keepNext/>
        <w:spacing w:after="120" w:before="280"/>
      </w:pPr>
      <w:r>
        <w:t xml:space="preserve">Phần A. Hướng dẫn dùng mẫu</w:t>
      </w:r>
    </w:p>
    <w:p>
      <w:pPr>
        <w:pStyle w:val="Heading2"/>
        <w:keepNext/>
        <w:spacing w:after="100" w:before="200"/>
      </w:pPr>
      <w:r>
        <w:t xml:space="preserve">Vesting là gì và vì sao nhà đầu tư luôn hỏi</w:t>
      </w:r>
    </w:p>
    <w:p>
      <w:pPr>
        <w:spacing w:after="120" w:line="288"/>
        <w:jc w:val="both"/>
      </w:pPr>
      <w:r>
        <w:t xml:space="preserve">Vesting là cơ chế để cổ phần của người sáng lập được "nhận đủ" dần theo thời gian gắn bó với công ty. Nếu một người rời đi sớm, phần chưa vesting được mua lại với giá thấp và trao cho người tiếp tục xây công ty. Không có vesting, một đồng sáng lập nghỉ sau sáu tháng vẫn giữ nguyên 30% công ty, và gần như không quỹ nào đầu tư vào một bảng cổ phần như vậy.</w:t>
      </w:r>
    </w:p>
    <w:p>
      <w:pPr>
        <w:spacing w:after="120" w:line="288"/>
        <w:jc w:val="both"/>
      </w:pPr>
      <w:r>
        <w:t xml:space="preserve">Ở Việt Nam, cổ đông sở hữu cổ phần ngay khi góp vốn và được ghi vào sổ đăng ký cổ đông. Vì vậy vesting ở đây là </w:t>
      </w:r>
      <w:r>
        <w:rPr>
          <w:b/>
          <w:bCs/>
        </w:rPr>
        <w:t xml:space="preserve">vesting ngược</w:t>
      </w:r>
      <w:r>
        <w:t xml:space="preserve">: người sáng lập sở hữu toàn bộ ngay từ đầu, nhưng cam kết bán lại phần chưa vesting nếu rời đi. Mẫu này được viết theo cách đó.</w:t>
      </w:r>
    </w:p>
    <w:p>
      <w:pPr>
        <w:pStyle w:val="Heading2"/>
        <w:keepNext/>
        <w:spacing w:after="100" w:before="200"/>
      </w:pPr>
      <w:r>
        <w:t xml:space="preserve">Các lựa chọn chính</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200"/>
        <w:gridCol w:w="2650"/>
        <w:gridCol w:w="2400"/>
        <w:gridCol w:w="2388"/>
      </w:tblGrid>
      <w:tr>
        <w:trPr>
          <w:tblHeader/>
        </w:trPr>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Điều khoản</w:t>
            </w:r>
          </w:p>
        </w:tc>
        <w:tc>
          <w:tcPr>
            <w:tcW w:type="dxa" w:w="265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Thông lệ thị trường</w:t>
            </w:r>
          </w:p>
        </w:tc>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Thân thiện founder hơn</w:t>
            </w:r>
          </w:p>
        </w:tc>
        <w:tc>
          <w:tcPr>
            <w:tcW w:type="dxa" w:w="2388"/>
            <w:shd w:fill="1C2B4A" w:color="auto" w:val="clear"/>
            <w:tcMar>
              <w:top w:type="dxa" w:w="80"/>
              <w:left w:type="dxa" w:w="120"/>
              <w:bottom w:type="dxa" w:w="80"/>
              <w:right w:type="dxa" w:w="120"/>
            </w:tcMar>
          </w:tcPr>
          <w:p>
            <w:pPr>
              <w:spacing w:after="40" w:line="264"/>
              <w:jc w:val="left"/>
            </w:pPr>
            <w:r>
              <w:rPr>
                <w:b/>
                <w:bCs/>
                <w:color w:val="FFFFFF"/>
                <w:sz w:val="20"/>
                <w:szCs w:val="20"/>
              </w:rPr>
              <w:t xml:space="preserve">Nhà đầu tư có thể đòi</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Tổng thời gian</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48 tháng</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36 tháng</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48 tháng, tính lại từ ngày đầu tư</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Cliff</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12 tháng, nhận 25%</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6 tháng hoặc không có cliff</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12 tháng</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Tính thời gian đã làm</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Tính 6 tới 12 tháng đã làm trước khi ký</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Tính toàn bộ thời gian đã làm</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Không tính, bắt đầu lại từ đầu</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Giá mua lại phần chưa vesting</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Bằng giá đã góp (thường là mệnh giá)</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Bằng giá trị hợp lý</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Mệnh giá</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Tăng tốc khi bán công ty</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Kích hoạt kép, 100% phần còn lại</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Kích hoạt đơn (chỉ cần bán công ty)</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Không có tăng tốc</w:t>
            </w:r>
          </w:p>
        </w:tc>
      </w:tr>
      <w:tr>
        <w:trPr>
          <w:cantSplit/>
        </w:trPr>
        <w:tc>
          <w:tcPr>
            <w:tcW w:type="dxa" w:w="22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Người rời đi vi phạm (bad leaver)</w:t>
            </w:r>
          </w:p>
        </w:tc>
        <w:tc>
          <w:tcPr>
            <w:tcW w:type="dxa" w:w="2650"/>
            <w:tcMar>
              <w:top w:type="dxa" w:w="80"/>
              <w:left w:type="dxa" w:w="120"/>
              <w:bottom w:type="dxa" w:w="80"/>
              <w:right w:type="dxa" w:w="120"/>
            </w:tcMar>
          </w:tcPr>
          <w:p>
            <w:pPr>
              <w:spacing w:after="40" w:line="264"/>
              <w:jc w:val="left"/>
            </w:pPr>
            <w:r>
              <w:rPr>
                <w:b w:val="false"/>
                <w:bCs w:val="false"/>
                <w:sz w:val="20"/>
                <w:szCs w:val="20"/>
              </w:rPr>
              <w:t xml:space="preserve">Phần đã vesting giữ nguyên</w:t>
            </w:r>
          </w:p>
        </w:tc>
        <w:tc>
          <w:tcPr>
            <w:tcW w:type="dxa" w:w="2400"/>
            <w:tcMar>
              <w:top w:type="dxa" w:w="80"/>
              <w:left w:type="dxa" w:w="120"/>
              <w:bottom w:type="dxa" w:w="80"/>
              <w:right w:type="dxa" w:w="120"/>
            </w:tcMar>
          </w:tcPr>
          <w:p>
            <w:pPr>
              <w:spacing w:after="40" w:line="264"/>
              <w:jc w:val="left"/>
            </w:pPr>
            <w:r>
              <w:rPr>
                <w:b w:val="false"/>
                <w:bCs w:val="false"/>
                <w:sz w:val="20"/>
                <w:szCs w:val="20"/>
              </w:rPr>
              <w:t xml:space="preserve">Phần đã vesting giữ nguyên</w:t>
            </w:r>
          </w:p>
        </w:tc>
        <w:tc>
          <w:tcPr>
            <w:tcW w:type="dxa" w:w="2388"/>
            <w:tcMar>
              <w:top w:type="dxa" w:w="80"/>
              <w:left w:type="dxa" w:w="120"/>
              <w:bottom w:type="dxa" w:w="80"/>
              <w:right w:type="dxa" w:w="120"/>
            </w:tcMar>
          </w:tcPr>
          <w:p>
            <w:pPr>
              <w:spacing w:after="40" w:line="264"/>
              <w:jc w:val="left"/>
            </w:pPr>
            <w:r>
              <w:rPr>
                <w:b w:val="false"/>
                <w:bCs w:val="false"/>
                <w:sz w:val="20"/>
                <w:szCs w:val="20"/>
              </w:rPr>
              <w:t xml:space="preserve">Mua lại cả phần đã vesting với giá thấp</w:t>
            </w:r>
          </w:p>
        </w:tc>
      </w:tr>
    </w:tbl>
    <w:p>
      <w:pPr>
        <w:spacing w:after="120"/>
      </w:pPr>
    </w:p>
    <w:p>
      <w:pPr>
        <w:pStyle w:val="Heading2"/>
        <w:keepNext/>
        <w:spacing w:after="100" w:before="200"/>
      </w:pPr>
      <w:r>
        <w:t xml:space="preserve">Năm lưu ý theo pháp luật Việt Nam</w:t>
      </w:r>
    </w:p>
    <w:p>
      <w:pPr>
        <w:pStyle w:val="ListParagraph"/>
        <w:numPr>
          <w:ilvl w:val="0"/>
          <w:numId w:val="2"/>
        </w:numPr>
        <w:spacing w:after="80" w:line="276"/>
        <w:jc w:val="both"/>
      </w:pPr>
      <w:r>
        <w:t xml:space="preserve">Mua lại giữa các cổ đông sáng lập với nhau là cách gọn nhất. Theo Điều 120 Luật Doanh nghiệp 2020, trong 3 năm đầu, cổ đông sáng lập được tự do chuyển nhượng cổ phần phổ thông cho cổ đông sáng lập khác; chuyển cho người ngoài cần đại hội đồng cổ đông chấp thuận.</w:t>
      </w:r>
    </w:p>
    <w:p>
      <w:pPr>
        <w:pStyle w:val="ListParagraph"/>
        <w:numPr>
          <w:ilvl w:val="0"/>
          <w:numId w:val="2"/>
        </w:numPr>
        <w:spacing w:after="80" w:line="276"/>
        <w:jc w:val="both"/>
      </w:pPr>
      <w:r>
        <w:t xml:space="preserve">Công ty tự mua lại cổ phần của mình bị giới hạn (Điều 133 và Điều 134 Luật Doanh nghiệp 2020): có trần số lượng, cần nghị quyết của cơ quan có thẩm quyền và công ty phải còn trả đủ nợ sau khi thanh toán. Mẫu này để công ty là bên mua cuối cùng, sau các cổ đông sáng lập còn lại và người được chỉ định.</w:t>
      </w:r>
    </w:p>
    <w:p>
      <w:pPr>
        <w:pStyle w:val="ListParagraph"/>
        <w:numPr>
          <w:ilvl w:val="0"/>
          <w:numId w:val="2"/>
        </w:numPr>
        <w:spacing w:after="80" w:line="276"/>
        <w:jc w:val="both"/>
      </w:pPr>
      <w:r>
        <w:t xml:space="preserve">Nên ghi cơ chế vesting vào cả thoả thuận cổ đông và, ở mức phù hợp, vào điều lệ, để ràng buộc được cả người nhận chuyển nhượng sau này.</w:t>
      </w:r>
    </w:p>
    <w:p>
      <w:pPr>
        <w:pStyle w:val="ListParagraph"/>
        <w:numPr>
          <w:ilvl w:val="0"/>
          <w:numId w:val="2"/>
        </w:numPr>
        <w:spacing w:after="80" w:line="276"/>
        <w:jc w:val="both"/>
      </w:pPr>
      <w:r>
        <w:t xml:space="preserve">Chuyển nhượng cổ phần phát sinh thuế thu nhập cá nhân và thủ tục cập nhật sổ đăng ký cổ đông. Hỏi kế toán thuế về giá chuyển nhượng được chấp nhận khi mua lại ở mệnh giá.</w:t>
      </w:r>
    </w:p>
    <w:p>
      <w:pPr>
        <w:pStyle w:val="ListParagraph"/>
        <w:numPr>
          <w:ilvl w:val="0"/>
          <w:numId w:val="2"/>
        </w:numPr>
        <w:spacing w:after="80" w:line="276"/>
        <w:jc w:val="both"/>
      </w:pPr>
      <w:r>
        <w:t xml:space="preserve">Vesting không thay cho thoả thuận chuyển giao sở hữu trí tuệ. Mã nguồn, thiết kế, thương hiệu do người sáng lập tạo ra cần được chuyển về công ty bằng văn bản riêng.</w:t>
      </w:r>
    </w:p>
    <w:p>
      <w:pPr>
        <w:pStyle w:val="Heading2"/>
        <w:keepNext/>
        <w:spacing w:after="100" w:before="200"/>
      </w:pPr>
      <w:r>
        <w:t xml:space="preserve">Ví dụ bằng số</w:t>
      </w:r>
    </w:p>
    <w:p>
      <w:pPr>
        <w:spacing w:after="120" w:line="288"/>
        <w:jc w:val="both"/>
      </w:pPr>
      <w:r>
        <w:t xml:space="preserve">Người sáng lập B nắm 120.000 cổ phần (mệnh giá 10.000 đồng), vesting 48 tháng, cliff 12 tháng. Mỗi tháng sau cliff, B vesting thêm 2.500 cổ phần.</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400"/>
        <w:gridCol w:w="2200"/>
        <w:gridCol w:w="2200"/>
        <w:gridCol w:w="2838"/>
      </w:tblGrid>
      <w:tr>
        <w:trPr>
          <w:tblHeader/>
        </w:trPr>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Thời điểm B rời đi</w:t>
            </w:r>
          </w:p>
        </w:tc>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Đã vesting</w:t>
            </w:r>
          </w:p>
        </w:tc>
        <w:tc>
          <w:tcPr>
            <w:tcW w:type="dxa" w:w="2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Chưa vesting</w:t>
            </w:r>
          </w:p>
        </w:tc>
        <w:tc>
          <w:tcPr>
            <w:tcW w:type="dxa" w:w="28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Tiền mua lại phần chưa vesting (theo mệnh giá)</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thứ 8 (trước cliff)</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1,2 tỷ đồng</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thứ 12</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90.000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900 triệu đồng</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thứ 30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75.000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45.000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450 triệu đồng</w:t>
            </w:r>
          </w:p>
        </w:tc>
      </w:tr>
      <w:tr>
        <w:trPr>
          <w:cantSplit/>
        </w:trPr>
        <w:tc>
          <w:tcPr>
            <w:tcW w:type="dxa" w:w="24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thứ 48</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22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2838"/>
            <w:tcMar>
              <w:top w:type="dxa" w:w="80"/>
              <w:left w:type="dxa" w:w="120"/>
              <w:bottom w:type="dxa" w:w="80"/>
              <w:right w:type="dxa" w:w="120"/>
            </w:tcMar>
          </w:tcPr>
          <w:p>
            <w:pPr>
              <w:spacing w:after="40" w:line="264"/>
              <w:jc w:val="left"/>
            </w:pPr>
            <w:r>
              <w:rPr>
                <w:b w:val="false"/>
                <w:bCs w:val="false"/>
                <w:sz w:val="20"/>
                <w:szCs w:val="20"/>
              </w:rPr>
              <w:t xml:space="preserve">Không phải mua lại</w:t>
            </w:r>
          </w:p>
        </w:tc>
      </w:tr>
    </w:tbl>
    <w:p>
      <w:pPr>
        <w:spacing w:after="120"/>
      </w:pPr>
    </w:p>
    <w:p>
      <w:r>
        <w:br w:type="page"/>
      </w:r>
    </w:p>
    <w:p>
      <w:pPr>
        <w:pStyle w:val="Heading1"/>
        <w:keepNext/>
        <w:spacing w:after="120" w:before="280"/>
      </w:pPr>
      <w:r>
        <w:t xml:space="preserve">Phần B. Mẫu thoả thuận</w:t>
      </w:r>
    </w:p>
    <w:p>
      <w:pPr>
        <w:spacing w:after="120" w:line="288"/>
        <w:jc w:val="center"/>
      </w:pPr>
      <w:r>
        <w:rPr>
          <w:b/>
          <w:bCs/>
        </w:rPr>
        <w:t xml:space="preserve">CỘNG HOÀ XÃ HỘI CHỦ NGHĨA VIỆT NAM</w:t>
      </w:r>
    </w:p>
    <w:p>
      <w:pPr>
        <w:spacing w:after="120" w:line="288"/>
        <w:jc w:val="center"/>
      </w:pPr>
      <w:r>
        <w:t xml:space="preserve">Độc lập, Tự do, Hạnh phúc</w:t>
      </w:r>
    </w:p>
    <w:p>
      <w:pPr>
        <w:spacing w:after="120" w:line="288"/>
        <w:jc w:val="center"/>
      </w:pPr>
      <w:r>
        <w:rPr>
          <w:i/>
          <w:iCs/>
          <w:shd w:fill="FBE7DA" w:color="auto" w:val="clear"/>
        </w:rPr>
        <w:t xml:space="preserve">[Địa điểm]</w:t>
      </w:r>
      <w:r>
        <w:rPr>
          <w:i/>
          <w:iCs/>
        </w:rPr>
        <w:t xml:space="preserve">, ngày </w:t>
      </w:r>
      <w:r>
        <w:rPr>
          <w:i/>
          <w:iCs/>
          <w:shd w:fill="FBE7DA" w:color="auto" w:val="clear"/>
        </w:rPr>
        <w:t xml:space="preserve">[●]</w:t>
      </w:r>
      <w:r>
        <w:rPr>
          <w:i/>
          <w:iCs/>
        </w:rPr>
        <w:t xml:space="preserve"> tháng </w:t>
      </w:r>
      <w:r>
        <w:rPr>
          <w:i/>
          <w:iCs/>
          <w:shd w:fill="FBE7DA" w:color="auto" w:val="clear"/>
        </w:rPr>
        <w:t xml:space="preserve">[●]</w:t>
      </w:r>
      <w:r>
        <w:rPr>
          <w:i/>
          <w:iCs/>
        </w:rPr>
        <w:t xml:space="preserve"> năm </w:t>
      </w:r>
      <w:r>
        <w:rPr>
          <w:i/>
          <w:iCs/>
          <w:shd w:fill="FBE7DA" w:color="auto" w:val="clear"/>
        </w:rPr>
        <w:t xml:space="preserve">[●]</w:t>
      </w:r>
    </w:p>
    <w:p>
      <w:pPr>
        <w:spacing w:after="80"/>
        <w:jc w:val="center"/>
      </w:pPr>
      <w:r>
        <w:rPr>
          <w:b/>
          <w:bCs/>
          <w:color w:val="1C2B4A"/>
          <w:sz w:val="32"/>
          <w:szCs w:val="32"/>
        </w:rPr>
        <w:t xml:space="preserve">THOẢ THUẬN VESTING CỔ PHẦN</w:t>
      </w:r>
    </w:p>
    <w:p>
      <w:pPr>
        <w:spacing w:after="240"/>
        <w:jc w:val="center"/>
      </w:pPr>
      <w:r>
        <w:rPr>
          <w:color w:val="5B6577"/>
          <w:sz w:val="22"/>
          <w:szCs w:val="22"/>
        </w:rPr>
        <w:t xml:space="preserve">Số: </w:t>
      </w:r>
      <w:r>
        <w:rPr>
          <w:color w:val="5B6577"/>
          <w:sz w:val="22"/>
          <w:szCs w:val="22"/>
          <w:shd w:fill="FBE7DA" w:color="auto" w:val="clear"/>
        </w:rPr>
        <w:t xml:space="preserve">[●]</w:t>
      </w:r>
      <w:r>
        <w:rPr>
          <w:color w:val="5B6577"/>
          <w:sz w:val="22"/>
          <w:szCs w:val="22"/>
        </w:rPr>
        <w:t xml:space="preserve">/</w:t>
      </w:r>
      <w:r>
        <w:rPr>
          <w:color w:val="5B6577"/>
          <w:sz w:val="22"/>
          <w:szCs w:val="22"/>
          <w:shd w:fill="FBE7DA" w:color="auto" w:val="clear"/>
        </w:rPr>
        <w:t xml:space="preserve">[năm]</w:t>
      </w:r>
      <w:r>
        <w:rPr>
          <w:color w:val="5B6577"/>
          <w:sz w:val="22"/>
          <w:szCs w:val="22"/>
        </w:rPr>
        <w:t xml:space="preserve">/TTVS</w:t>
      </w:r>
    </w:p>
    <w:p>
      <w:pPr>
        <w:spacing w:after="120" w:line="288"/>
        <w:jc w:val="both"/>
      </w:pPr>
      <w:r>
        <w:t xml:space="preserve">Căn cứ Bộ luật Dân sự 2015; Luật Doanh nghiệp 2020 và các văn bản sửa đổi, bổ sung; Điều lệ Công ty </w:t>
      </w:r>
      <w:r>
        <w:rPr>
          <w:shd w:fill="FBE7DA" w:color="auto" w:val="clear"/>
        </w:rPr>
        <w:t xml:space="preserve">[Tên công ty]</w:t>
      </w:r>
      <w:r>
        <w:t xml:space="preserve">; và thoả thuận của các bên, hôm nay các bên gồm:</w:t>
      </w:r>
    </w:p>
    <w:p>
      <w:pPr>
        <w:tabs>
          <w:tab w:val="left" w:pos="624"/>
        </w:tabs>
        <w:spacing w:after="100" w:line="288"/>
        <w:ind w:left="624" w:hanging="624"/>
        <w:jc w:val="both"/>
      </w:pPr>
      <w:r>
        <w:t xml:space="preserve">1.	</w:t>
      </w:r>
      <w:r>
        <w:rPr>
          <w:b/>
          <w:bCs/>
        </w:rPr>
        <w:t xml:space="preserve">Công ty Cổ phần </w:t>
      </w:r>
      <w:r>
        <w:rPr>
          <w:b/>
          <w:bCs/>
          <w:shd w:fill="FBE7DA" w:color="auto" w:val="clear"/>
        </w:rPr>
        <w:t xml:space="preserve">[Tên công ty]</w:t>
      </w:r>
      <w:r>
        <w:t xml:space="preserve"> ("Công ty"), mã số doanh nghiệp </w:t>
      </w:r>
      <w:r>
        <w:rPr>
          <w:shd w:fill="FBE7DA" w:color="auto" w:val="clear"/>
        </w:rPr>
        <w:t xml:space="preserve">[●]</w:t>
      </w:r>
      <w:r>
        <w:t xml:space="preserve">, trụ sở tại </w:t>
      </w:r>
      <w:r>
        <w:rPr>
          <w:shd w:fill="FBE7DA" w:color="auto" w:val="clear"/>
        </w:rPr>
        <w:t xml:space="preserve">[●]</w:t>
      </w:r>
      <w:r>
        <w:t xml:space="preserve">, đại diện bởi ông/bà </w:t>
      </w:r>
      <w:r>
        <w:rPr>
          <w:shd w:fill="FBE7DA" w:color="auto" w:val="clear"/>
        </w:rPr>
        <w:t xml:space="preserve">[●]</w:t>
      </w:r>
      <w:r>
        <w:t xml:space="preserve">, chức vụ </w:t>
      </w:r>
      <w:r>
        <w:rPr>
          <w:shd w:fill="FBE7DA" w:color="auto" w:val="clear"/>
        </w:rPr>
        <w:t xml:space="preserve">[●]</w:t>
      </w:r>
      <w:r>
        <w:t xml:space="preserve">.</w:t>
      </w:r>
    </w:p>
    <w:p>
      <w:pPr>
        <w:tabs>
          <w:tab w:val="left" w:pos="624"/>
        </w:tabs>
        <w:spacing w:after="100" w:line="288"/>
        <w:ind w:left="624" w:hanging="624"/>
        <w:jc w:val="both"/>
      </w:pPr>
      <w:r>
        <w:t xml:space="preserve">2.	</w:t>
      </w:r>
      <w:r>
        <w:rPr>
          <w:b/>
          <w:bCs/>
        </w:rPr>
        <w:t xml:space="preserve">Ông/Bà </w:t>
      </w:r>
      <w:r>
        <w:rPr>
          <w:b/>
          <w:bCs/>
          <w:shd w:fill="FBE7DA" w:color="auto" w:val="clear"/>
        </w:rPr>
        <w:t xml:space="preserve">[Họ tên người sáng lập]</w:t>
      </w:r>
      <w:r>
        <w:t xml:space="preserve"> ("Người Sáng Lập"), CCCD số </w:t>
      </w:r>
      <w:r>
        <w:rPr>
          <w:shd w:fill="FBE7DA" w:color="auto" w:val="clear"/>
        </w:rPr>
        <w:t xml:space="preserve">[●]</w:t>
      </w:r>
      <w:r>
        <w:t xml:space="preserve"> cấp ngày </w:t>
      </w:r>
      <w:r>
        <w:rPr>
          <w:shd w:fill="FBE7DA" w:color="auto" w:val="clear"/>
        </w:rPr>
        <w:t xml:space="preserve">[●]</w:t>
      </w:r>
      <w:r>
        <w:t xml:space="preserve">, địa chỉ </w:t>
      </w:r>
      <w:r>
        <w:rPr>
          <w:shd w:fill="FBE7DA" w:color="auto" w:val="clear"/>
        </w:rPr>
        <w:t xml:space="preserve">[●]</w:t>
      </w:r>
      <w:r>
        <w:t xml:space="preserve">.</w:t>
      </w:r>
    </w:p>
    <w:p>
      <w:pPr>
        <w:tabs>
          <w:tab w:val="left" w:pos="624"/>
        </w:tabs>
        <w:spacing w:after="100" w:line="288"/>
        <w:ind w:left="624" w:hanging="624"/>
        <w:jc w:val="both"/>
      </w:pPr>
      <w:r>
        <w:t xml:space="preserve">3.	</w:t>
      </w:r>
      <w:r>
        <w:rPr>
          <w:b/>
          <w:bCs/>
        </w:rPr>
        <w:t xml:space="preserve">Các cổ đông sáng lập còn lại</w:t>
      </w:r>
      <w:r>
        <w:t xml:space="preserve"> có tên tại Phụ lục 2 (gọi chung là "Các Cổ Đông Sáng Lập Khác").</w:t>
      </w:r>
    </w:p>
    <w:p>
      <w:pPr>
        <w:spacing w:after="120" w:line="288"/>
        <w:jc w:val="both"/>
      </w:pPr>
      <w:r>
        <w:t xml:space="preserve">cùng thống nhất ký Thoả thuận này với các điều khoản sau.</w:t>
      </w:r>
    </w:p>
    <w:p>
      <w:pPr>
        <w:pStyle w:val="Heading2"/>
        <w:keepNext/>
        <w:spacing w:after="100" w:before="200"/>
      </w:pPr>
      <w:r>
        <w:t xml:space="preserve">Điều 1. Định nghĩa</w:t>
      </w:r>
    </w:p>
    <w:p>
      <w:pPr>
        <w:tabs>
          <w:tab w:val="left" w:pos="624"/>
        </w:tabs>
        <w:spacing w:after="100" w:line="288"/>
        <w:ind w:left="624" w:hanging="624"/>
        <w:jc w:val="both"/>
      </w:pPr>
      <w:r>
        <w:t xml:space="preserve">1.1	</w:t>
      </w:r>
      <w:r>
        <w:rPr>
          <w:b/>
          <w:bCs/>
        </w:rPr>
        <w:t xml:space="preserve">"Cổ Phần Chịu Vesting"</w:t>
      </w:r>
      <w:r>
        <w:t xml:space="preserve">: </w:t>
      </w:r>
      <w:r>
        <w:rPr>
          <w:shd w:fill="FBE7DA" w:color="auto" w:val="clear"/>
        </w:rPr>
        <w:t xml:space="preserve">[●]</w:t>
      </w:r>
      <w:r>
        <w:t xml:space="preserve"> cổ phần phổ thông do Người Sáng Lập sở hữu, chiếm </w:t>
      </w:r>
      <w:r>
        <w:rPr>
          <w:shd w:fill="FBE7DA" w:color="auto" w:val="clear"/>
        </w:rPr>
        <w:t xml:space="preserve">[●]</w:t>
      </w:r>
      <w:r>
        <w:t xml:space="preserve">% vốn điều lệ tại ngày ký, cùng mọi cổ phần phát sinh từ số cổ phần này do chia, tách, gộp hoặc trả cổ tức bằng cổ phần.</w:t>
      </w:r>
    </w:p>
    <w:p>
      <w:pPr>
        <w:tabs>
          <w:tab w:val="left" w:pos="624"/>
        </w:tabs>
        <w:spacing w:after="100" w:line="288"/>
        <w:ind w:left="624" w:hanging="624"/>
        <w:jc w:val="both"/>
      </w:pPr>
      <w:r>
        <w:t xml:space="preserve">1.2	</w:t>
      </w:r>
      <w:r>
        <w:rPr>
          <w:b/>
          <w:bCs/>
        </w:rPr>
        <w:t xml:space="preserve">"Ngày Bắt Đầu Vesting"</w:t>
      </w:r>
      <w:r>
        <w:t xml:space="preserve">: ngày </w:t>
      </w:r>
      <w:r>
        <w:rPr>
          <w:shd w:fill="FBE7DA" w:color="auto" w:val="clear"/>
        </w:rPr>
        <w:t xml:space="preserve">[●]</w:t>
      </w:r>
      <w:r>
        <w:t xml:space="preserve">. Ngày này có thể sớm hơn ngày ký để tính thời gian Người Sáng Lập đã làm việc cho Công ty.</w:t>
      </w:r>
    </w:p>
    <w:p>
      <w:pPr>
        <w:tabs>
          <w:tab w:val="left" w:pos="624"/>
        </w:tabs>
        <w:spacing w:after="100" w:line="288"/>
        <w:ind w:left="624" w:hanging="624"/>
        <w:jc w:val="both"/>
      </w:pPr>
      <w:r>
        <w:t xml:space="preserve">1.3	</w:t>
      </w:r>
      <w:r>
        <w:rPr>
          <w:b/>
          <w:bCs/>
        </w:rPr>
        <w:t xml:space="preserve">"Cổ Phần Đã Vesting"</w:t>
      </w:r>
      <w:r>
        <w:t xml:space="preserve"> và </w:t>
      </w:r>
      <w:r>
        <w:rPr>
          <w:b/>
          <w:bCs/>
        </w:rPr>
        <w:t xml:space="preserve">"Cổ Phần Chưa Vesting"</w:t>
      </w:r>
      <w:r>
        <w:t xml:space="preserve">: phần Cổ Phần Chịu Vesting đã hoặc chưa được giải phóng theo Điều 3 tại một thời điểm.</w:t>
      </w:r>
    </w:p>
    <w:p>
      <w:pPr>
        <w:tabs>
          <w:tab w:val="left" w:pos="624"/>
        </w:tabs>
        <w:spacing w:after="100" w:line="288"/>
        <w:ind w:left="624" w:hanging="624"/>
        <w:jc w:val="both"/>
      </w:pPr>
      <w:r>
        <w:t xml:space="preserve">1.4	</w:t>
      </w:r>
      <w:r>
        <w:rPr>
          <w:b/>
          <w:bCs/>
        </w:rPr>
        <w:t xml:space="preserve">"Ngày Chấm Dứt Gắn Bó"</w:t>
      </w:r>
      <w:r>
        <w:t xml:space="preserve">: ngày Người Sáng Lập không còn làm việc toàn thời gian cho Công ty với tư cách người lao động, người quản lý hoặc người cung cấp dịch vụ, vì bất kỳ lý do gì.</w:t>
      </w:r>
    </w:p>
    <w:p>
      <w:pPr>
        <w:tabs>
          <w:tab w:val="left" w:pos="624"/>
        </w:tabs>
        <w:spacing w:after="100" w:line="288"/>
        <w:ind w:left="624" w:hanging="624"/>
        <w:jc w:val="both"/>
      </w:pPr>
      <w:r>
        <w:t xml:space="preserve">1.5	</w:t>
      </w:r>
      <w:r>
        <w:rPr>
          <w:b/>
          <w:bCs/>
        </w:rPr>
        <w:t xml:space="preserve">"Lý Do Chính Đáng"</w:t>
      </w:r>
      <w:r>
        <w:t xml:space="preserve">: Người Sáng Lập (a) vi phạm nghiêm trọng nghĩa vụ bảo mật, không cạnh tranh hoặc chuyển giao sở hữu trí tuệ với Công ty và không khắc phục trong </w:t>
      </w:r>
      <w:r>
        <w:rPr>
          <w:shd w:fill="FBE7DA" w:color="auto" w:val="clear"/>
        </w:rPr>
        <w:t xml:space="preserve">[30]</w:t>
      </w:r>
      <w:r>
        <w:t xml:space="preserve"> ngày kể từ khi được thông báo; (b) có hành vi gian lận, chiếm đoạt tài sản của Công ty; hoặc (c) bị kết án về tội phạm liên quan đến hoạt động của Công ty.</w:t>
      </w:r>
    </w:p>
    <w:p>
      <w:pPr>
        <w:tabs>
          <w:tab w:val="left" w:pos="624"/>
        </w:tabs>
        <w:spacing w:after="100" w:line="288"/>
        <w:ind w:left="624" w:hanging="624"/>
        <w:jc w:val="both"/>
      </w:pPr>
      <w:r>
        <w:t xml:space="preserve">1.6	</w:t>
      </w:r>
      <w:r>
        <w:rPr>
          <w:b/>
          <w:bCs/>
        </w:rPr>
        <w:t xml:space="preserve">"Người Rời Đi Vi Phạm"</w:t>
      </w:r>
      <w:r>
        <w:t xml:space="preserve">: Người Sáng Lập bị chấm dứt gắn bó vì Lý Do Chính Đáng. Mọi trường hợp chấm dứt khác là </w:t>
      </w:r>
      <w:r>
        <w:rPr>
          <w:b/>
          <w:bCs/>
        </w:rPr>
        <w:t xml:space="preserve">"Người Rời Đi Thông Thường"</w:t>
      </w:r>
      <w:r>
        <w:t xml:space="preserve">.</w:t>
      </w:r>
    </w:p>
    <w:p>
      <w:pPr>
        <w:tabs>
          <w:tab w:val="left" w:pos="624"/>
        </w:tabs>
        <w:spacing w:after="100" w:line="288"/>
        <w:ind w:left="624" w:hanging="624"/>
        <w:jc w:val="both"/>
      </w:pPr>
      <w:r>
        <w:t xml:space="preserve">1.7	</w:t>
      </w:r>
      <w:r>
        <w:rPr>
          <w:b/>
          <w:bCs/>
        </w:rPr>
        <w:t xml:space="preserve">"Sự Kiện Bán Công Ty"</w:t>
      </w:r>
      <w:r>
        <w:t xml:space="preserve">: giao dịch mà sau đó những người là cổ đông ngay trước giao dịch nắm dưới 50% quyền biểu quyết, hoặc giao dịch bán toàn bộ hay phần lớn tài sản của Công ty.</w:t>
      </w:r>
    </w:p>
    <w:p>
      <w:pPr>
        <w:pStyle w:val="Heading2"/>
        <w:keepNext/>
        <w:spacing w:after="100" w:before="200"/>
      </w:pPr>
      <w:r>
        <w:t xml:space="preserve">Điều 2. Quyền của Người Sáng Lập đối với Cổ Phần Chịu Vesting</w:t>
      </w:r>
    </w:p>
    <w:p>
      <w:pPr>
        <w:tabs>
          <w:tab w:val="left" w:pos="624"/>
        </w:tabs>
        <w:spacing w:after="100" w:line="288"/>
        <w:ind w:left="624" w:hanging="624"/>
        <w:jc w:val="both"/>
      </w:pPr>
      <w:r>
        <w:t xml:space="preserve">2.1	</w:t>
      </w:r>
      <w:r>
        <w:t xml:space="preserve">Người Sáng Lập là chủ sở hữu hợp pháp của toàn bộ Cổ Phần Chịu Vesting, được biểu quyết và nhận cổ tức đối với toàn bộ số cổ phần này, kể cả Cổ Phần Chưa Vesting.</w:t>
      </w:r>
    </w:p>
    <w:p>
      <w:pPr>
        <w:tabs>
          <w:tab w:val="left" w:pos="624"/>
        </w:tabs>
        <w:spacing w:after="100" w:line="288"/>
        <w:ind w:left="624" w:hanging="624"/>
        <w:jc w:val="both"/>
      </w:pPr>
      <w:r>
        <w:t xml:space="preserve">2.2	</w:t>
      </w:r>
      <w:r>
        <w:t xml:space="preserve">Quyền của Người Sáng Lập đối với Cổ Phần Chưa Vesting chịu các hạn chế tại Điều 4 và Điều 6.</w:t>
      </w:r>
    </w:p>
    <w:p>
      <w:pPr>
        <w:pBdr>
          <w:left w:val="single" w:color="D9692B" w:sz="12" w:space="8"/>
        </w:pBdr>
        <w:spacing w:after="140" w:line="276"/>
        <w:ind w:left="284"/>
        <w:jc w:val="both"/>
      </w:pPr>
      <w:r>
        <w:rPr>
          <w:b/>
          <w:bCs/>
          <w:i/>
          <w:iCs/>
          <w:color w:val="D9692B"/>
          <w:sz w:val="20"/>
          <w:szCs w:val="20"/>
        </w:rPr>
        <w:t xml:space="preserve">Ghi chú cho founder: </w:t>
      </w:r>
      <w:r>
        <w:rPr>
          <w:i/>
          <w:iCs/>
          <w:color w:val="5B6577"/>
          <w:sz w:val="20"/>
          <w:szCs w:val="20"/>
        </w:rPr>
        <w:t xml:space="preserve">Đây là điểm khác với vesting kiểu "nhận dần" ở Mỹ. Người sáng lập vẫn biểu quyết bằng toàn bộ cổ phần, nên quyền điều hành không bị ảnh hưởng trong lúc vesting.</w:t>
      </w:r>
    </w:p>
    <w:p>
      <w:pPr>
        <w:pStyle w:val="Heading2"/>
        <w:keepNext/>
        <w:spacing w:after="100" w:before="200"/>
      </w:pPr>
      <w:r>
        <w:t xml:space="preserve">Điều 3. Lịch vesting</w:t>
      </w:r>
    </w:p>
    <w:p>
      <w:pPr>
        <w:tabs>
          <w:tab w:val="left" w:pos="624"/>
        </w:tabs>
        <w:spacing w:after="100" w:line="288"/>
        <w:ind w:left="624" w:hanging="624"/>
        <w:jc w:val="both"/>
      </w:pPr>
      <w:r>
        <w:t xml:space="preserve">3.1	</w:t>
      </w:r>
      <w:r>
        <w:t xml:space="preserve">Cổ Phần Chịu Vesting được giải phóng trong </w:t>
      </w:r>
      <w:r>
        <w:rPr>
          <w:shd w:fill="FBE7DA" w:color="auto" w:val="clear"/>
        </w:rPr>
        <w:t xml:space="preserve">[48]</w:t>
      </w:r>
      <w:r>
        <w:t xml:space="preserve"> tháng kể từ Ngày Bắt Đầu Vesting như sau: (a) không có cổ phần nào được giải phóng trước ngày tròn </w:t>
      </w:r>
      <w:r>
        <w:rPr>
          <w:shd w:fill="FBE7DA" w:color="auto" w:val="clear"/>
        </w:rPr>
        <w:t xml:space="preserve">[12]</w:t>
      </w:r>
      <w:r>
        <w:t xml:space="preserve"> tháng ("Cliff"); (b) vào ngày tròn </w:t>
      </w:r>
      <w:r>
        <w:rPr>
          <w:shd w:fill="FBE7DA" w:color="auto" w:val="clear"/>
        </w:rPr>
        <w:t xml:space="preserve">[12]</w:t>
      </w:r>
      <w:r>
        <w:t xml:space="preserve"> tháng, </w:t>
      </w:r>
      <w:r>
        <w:rPr>
          <w:shd w:fill="FBE7DA" w:color="auto" w:val="clear"/>
        </w:rPr>
        <w:t xml:space="preserve">[25]</w:t>
      </w:r>
      <w:r>
        <w:t xml:space="preserve">% Cổ Phần Chịu Vesting được giải phóng; (c) sau đó, mỗi tháng tiếp theo giải phóng thêm </w:t>
      </w:r>
      <w:r>
        <w:rPr>
          <w:shd w:fill="FBE7DA" w:color="auto" w:val="clear"/>
        </w:rPr>
        <w:t xml:space="preserve">[1/48]</w:t>
      </w:r>
      <w:r>
        <w:t xml:space="preserve"> Cổ Phần Chịu Vesting, cho tới khi đủ 100%.</w:t>
      </w:r>
    </w:p>
    <w:p>
      <w:pPr>
        <w:tabs>
          <w:tab w:val="left" w:pos="624"/>
        </w:tabs>
        <w:spacing w:after="100" w:line="288"/>
        <w:ind w:left="624" w:hanging="624"/>
        <w:jc w:val="both"/>
      </w:pPr>
      <w:r>
        <w:t xml:space="preserve">3.2	</w:t>
      </w:r>
      <w:r>
        <w:t xml:space="preserve">Việc giải phóng chỉ diễn ra nếu tại ngày giải phóng, Người Sáng Lập vẫn đang gắn bó với Công ty. Số cổ phần được làm tròn xuống tới cổ phần nguyên; phần lẻ được cộng vào lần giải phóng cuối cùng.</w:t>
      </w:r>
    </w:p>
    <w:p>
      <w:pPr>
        <w:tabs>
          <w:tab w:val="left" w:pos="624"/>
        </w:tabs>
        <w:spacing w:after="100" w:line="288"/>
        <w:ind w:left="624" w:hanging="624"/>
        <w:jc w:val="both"/>
      </w:pPr>
      <w:r>
        <w:t xml:space="preserve">3.3	</w:t>
      </w:r>
      <w:r>
        <w:t xml:space="preserve">Bảng lịch giải phóng chi tiết tại Phụ lục 1.</w:t>
      </w:r>
    </w:p>
    <w:p>
      <w:pPr>
        <w:pBdr>
          <w:left w:val="single" w:color="D9692B" w:sz="12" w:space="8"/>
        </w:pBdr>
        <w:spacing w:after="140" w:line="276"/>
        <w:ind w:left="284"/>
        <w:jc w:val="both"/>
      </w:pPr>
      <w:r>
        <w:rPr>
          <w:b/>
          <w:bCs/>
          <w:i/>
          <w:iCs/>
          <w:color w:val="D9692B"/>
          <w:sz w:val="20"/>
          <w:szCs w:val="20"/>
        </w:rPr>
        <w:t xml:space="preserve">Ghi chú cho founder: </w:t>
      </w:r>
      <w:r>
        <w:rPr>
          <w:i/>
          <w:iCs/>
          <w:color w:val="5B6577"/>
          <w:sz w:val="20"/>
          <w:szCs w:val="20"/>
        </w:rPr>
        <w:t xml:space="preserve">Nếu đã làm cho công ty một thời gian trước khi ký, đặt Ngày Bắt Đầu Vesting lùi về ngày bắt đầu làm thực tế. Nhà đầu tư thường chấp nhận tính 6 tới 12 tháng đã làm.</w:t>
      </w:r>
    </w:p>
    <w:p>
      <w:pPr>
        <w:pStyle w:val="Heading2"/>
        <w:keepNext/>
        <w:spacing w:after="100" w:before="200"/>
      </w:pPr>
      <w:r>
        <w:t xml:space="preserve">Điều 4. Quyền mua lại khi Người Sáng Lập rời đi</w:t>
      </w:r>
    </w:p>
    <w:p>
      <w:pPr>
        <w:tabs>
          <w:tab w:val="left" w:pos="624"/>
        </w:tabs>
        <w:spacing w:after="100" w:line="288"/>
        <w:ind w:left="624" w:hanging="624"/>
        <w:jc w:val="both"/>
      </w:pPr>
      <w:r>
        <w:t xml:space="preserve">4.1	</w:t>
      </w:r>
      <w:r>
        <w:t xml:space="preserve">Kể từ Ngày Chấm Dứt Gắn Bó, Cổ Phần Chưa Vesting ngừng được giải phóng. Các bên sau đây lần lượt có quyền, nhưng không có nghĩa vụ, mua lại Cổ Phần Chưa Vesting ("Quyền Mua Lại"): (a) Các Cổ Đông Sáng Lập Khác, theo tỷ lệ sở hữu giữa họ, trong </w:t>
      </w:r>
      <w:r>
        <w:rPr>
          <w:shd w:fill="FBE7DA" w:color="auto" w:val="clear"/>
        </w:rPr>
        <w:t xml:space="preserve">[30]</w:t>
      </w:r>
      <w:r>
        <w:t xml:space="preserve"> ngày; (b) phần còn lại, người do Hội đồng quản trị chỉ định, trong </w:t>
      </w:r>
      <w:r>
        <w:rPr>
          <w:shd w:fill="FBE7DA" w:color="auto" w:val="clear"/>
        </w:rPr>
        <w:t xml:space="preserve">[30]</w:t>
      </w:r>
      <w:r>
        <w:t xml:space="preserve"> ngày tiếp theo; (c) phần còn lại, Công ty, trong giới hạn pháp luật cho phép, trong </w:t>
      </w:r>
      <w:r>
        <w:rPr>
          <w:shd w:fill="FBE7DA" w:color="auto" w:val="clear"/>
        </w:rPr>
        <w:t xml:space="preserve">[30]</w:t>
      </w:r>
      <w:r>
        <w:t xml:space="preserve"> ngày tiếp theo.</w:t>
      </w:r>
    </w:p>
    <w:p>
      <w:pPr>
        <w:tabs>
          <w:tab w:val="left" w:pos="624"/>
        </w:tabs>
        <w:spacing w:after="100" w:line="288"/>
        <w:ind w:left="624" w:hanging="624"/>
        <w:jc w:val="both"/>
      </w:pPr>
      <w:r>
        <w:t xml:space="preserve">4.2	</w:t>
      </w:r>
      <w:r>
        <w:t xml:space="preserve">Giá mua lại Cổ Phần Chưa Vesting bằng </w:t>
      </w:r>
      <w:r>
        <w:rPr>
          <w:shd w:fill="FBE7DA" w:color="auto" w:val="clear"/>
        </w:rPr>
        <w:t xml:space="preserve">[số tiền Người Sáng Lập đã thực góp cho số cổ phần đó / mệnh giá]</w:t>
      </w:r>
      <w:r>
        <w:t xml:space="preserve">, cho cả Người Rời Đi Thông Thường và Người Rời Đi Vi Phạm.</w:t>
      </w:r>
    </w:p>
    <w:p>
      <w:pPr>
        <w:tabs>
          <w:tab w:val="left" w:pos="624"/>
        </w:tabs>
        <w:spacing w:after="100" w:line="288"/>
        <w:ind w:left="624" w:hanging="624"/>
        <w:jc w:val="both"/>
      </w:pPr>
      <w:r>
        <w:t xml:space="preserve">4.3	</w:t>
      </w:r>
      <w:r>
        <w:t xml:space="preserve">Đối với Người Rời Đi Vi Phạm, các bên tại khoản 4.1 còn có quyền mua lại Cổ Phần Đã Vesting với giá bằng </w:t>
      </w:r>
      <w:r>
        <w:rPr>
          <w:shd w:fill="FBE7DA" w:color="auto" w:val="clear"/>
        </w:rPr>
        <w:t xml:space="preserve">[mệnh giá / [50]</w:t>
      </w:r>
      <w:r>
        <w:t xml:space="preserve">% giá trị hợp lý do một đơn vị thẩm định độc lập xác định]. Người Rời Đi Thông Thường giữ toàn bộ Cổ Phần Đã Vesting.</w:t>
      </w:r>
    </w:p>
    <w:p>
      <w:pPr>
        <w:tabs>
          <w:tab w:val="left" w:pos="624"/>
        </w:tabs>
        <w:spacing w:after="100" w:line="288"/>
        <w:ind w:left="624" w:hanging="624"/>
        <w:jc w:val="both"/>
      </w:pPr>
      <w:r>
        <w:t xml:space="preserve">4.4	</w:t>
      </w:r>
      <w:r>
        <w:t xml:space="preserve">Bên thực hiện Quyền Mua Lại gửi thông báo bằng văn bản cho Người Sáng Lập. Trong </w:t>
      </w:r>
      <w:r>
        <w:rPr>
          <w:shd w:fill="FBE7DA" w:color="auto" w:val="clear"/>
        </w:rPr>
        <w:t xml:space="preserve">[15]</w:t>
      </w:r>
      <w:r>
        <w:t xml:space="preserve"> ngày kể từ khi nhận thông báo, Người Sáng Lập ký hợp đồng chuyển nhượng và mọi hồ sơ cần thiết, và bên mua thanh toán giá mua lại. Nếu Người Sáng Lập không ký, Người Sáng Lập đồng ý rằng </w:t>
      </w:r>
      <w:r>
        <w:rPr>
          <w:shd w:fill="FBE7DA" w:color="auto" w:val="clear"/>
        </w:rPr>
        <w:t xml:space="preserve">[Chủ tịch Hội đồng quản trị]</w:t>
      </w:r>
      <w:r>
        <w:t xml:space="preserve"> được uỷ quyền ký thay theo Giấy uỷ quyền tại Phụ lục 3, và tiền mua lại được giữ cho Người Sáng Lập.</w:t>
      </w:r>
    </w:p>
    <w:p>
      <w:pPr>
        <w:pBdr>
          <w:left w:val="single" w:color="D9692B" w:sz="12" w:space="8"/>
        </w:pBdr>
        <w:spacing w:after="140" w:line="276"/>
        <w:ind w:left="284"/>
        <w:jc w:val="both"/>
      </w:pPr>
      <w:r>
        <w:rPr>
          <w:b/>
          <w:bCs/>
          <w:i/>
          <w:iCs/>
          <w:color w:val="D9692B"/>
          <w:sz w:val="20"/>
          <w:szCs w:val="20"/>
        </w:rPr>
        <w:t xml:space="preserve">Ghi chú cho founder: </w:t>
      </w:r>
      <w:r>
        <w:rPr>
          <w:i/>
          <w:iCs/>
          <w:color w:val="5B6577"/>
          <w:sz w:val="20"/>
          <w:szCs w:val="20"/>
        </w:rPr>
        <w:t xml:space="preserve">Thứ tự bên mua đặt cổ đông sáng lập lên trước để tránh giới hạn khi công ty tự mua lại cổ phần của mình. Giấy uỷ quyền ở Phụ lục 3 giúp thực hiện được quyền mua lại ngay cả khi người rời đi không hợp tác; hỏi luật sư về giá trị thực thi của uỷ quyền trong trường hợp của bạn.</w:t>
      </w:r>
    </w:p>
    <w:p>
      <w:pPr>
        <w:pStyle w:val="Heading2"/>
        <w:keepNext/>
        <w:spacing w:after="100" w:before="200"/>
      </w:pPr>
      <w:r>
        <w:t xml:space="preserve">Điều 5. Tăng tốc vesting khi bán công ty</w:t>
      </w:r>
    </w:p>
    <w:p>
      <w:pPr>
        <w:tabs>
          <w:tab w:val="left" w:pos="624"/>
        </w:tabs>
        <w:spacing w:after="100" w:line="288"/>
        <w:ind w:left="624" w:hanging="624"/>
        <w:jc w:val="both"/>
      </w:pPr>
      <w:r>
        <w:t xml:space="preserve">5.1	</w:t>
      </w:r>
      <w:r>
        <w:t xml:space="preserve">Nếu xảy ra Sự Kiện Bán Công Ty và trong </w:t>
      </w:r>
      <w:r>
        <w:rPr>
          <w:shd w:fill="FBE7DA" w:color="auto" w:val="clear"/>
        </w:rPr>
        <w:t xml:space="preserve">[12]</w:t>
      </w:r>
      <w:r>
        <w:t xml:space="preserve"> tháng sau đó Người Sáng Lập bị chấm dứt gắn bó mà không vì Lý Do Chính Đáng, hoặc tự nghỉ vì bị giảm đáng kể vai trò, thu nhập hoặc phải chuyển nơi làm việc trên </w:t>
      </w:r>
      <w:r>
        <w:rPr>
          <w:shd w:fill="FBE7DA" w:color="auto" w:val="clear"/>
        </w:rPr>
        <w:t xml:space="preserve">[50]</w:t>
      </w:r>
      <w:r>
        <w:t xml:space="preserve"> km, thì </w:t>
      </w:r>
      <w:r>
        <w:rPr>
          <w:shd w:fill="FBE7DA" w:color="auto" w:val="clear"/>
        </w:rPr>
        <w:t xml:space="preserve">[100]</w:t>
      </w:r>
      <w:r>
        <w:t xml:space="preserve">% Cổ Phần Chưa Vesting được giải phóng ngay tại Ngày Chấm Dứt Gắn Bó.</w:t>
      </w:r>
    </w:p>
    <w:p>
      <w:pPr>
        <w:pBdr>
          <w:left w:val="single" w:color="D9692B" w:sz="12" w:space="8"/>
        </w:pBdr>
        <w:spacing w:after="140" w:line="276"/>
        <w:ind w:left="284"/>
        <w:jc w:val="both"/>
      </w:pPr>
      <w:r>
        <w:rPr>
          <w:b/>
          <w:bCs/>
          <w:i/>
          <w:iCs/>
          <w:color w:val="D9692B"/>
          <w:sz w:val="20"/>
          <w:szCs w:val="20"/>
        </w:rPr>
        <w:t xml:space="preserve">Ghi chú cho founder: </w:t>
      </w:r>
      <w:r>
        <w:rPr>
          <w:i/>
          <w:iCs/>
          <w:color w:val="5B6577"/>
          <w:sz w:val="20"/>
          <w:szCs w:val="20"/>
        </w:rPr>
        <w:t xml:space="preserve">Đây là tăng tốc "kích hoạt kép": cần cả việc bán công ty lẫn việc mất vị trí. Nhà đầu tư và bên mua chấp nhận kiểu này dễ hơn nhiều so với kích hoạt đơn.</w:t>
      </w:r>
    </w:p>
    <w:p>
      <w:pPr>
        <w:pStyle w:val="Heading2"/>
        <w:keepNext/>
        <w:spacing w:after="100" w:before="200"/>
      </w:pPr>
      <w:r>
        <w:t xml:space="preserve">Điều 6. Hạn chế chuyển nhượng</w:t>
      </w:r>
    </w:p>
    <w:p>
      <w:pPr>
        <w:tabs>
          <w:tab w:val="left" w:pos="624"/>
        </w:tabs>
        <w:spacing w:after="100" w:line="288"/>
        <w:ind w:left="624" w:hanging="624"/>
        <w:jc w:val="both"/>
      </w:pPr>
      <w:r>
        <w:t xml:space="preserve">6.1	</w:t>
      </w:r>
      <w:r>
        <w:t xml:space="preserve">Người Sáng Lập không được chuyển nhượng, tặng cho, cầm cố, thế chấp hoặc tạo bất kỳ quyền nào của bên thứ ba trên Cổ Phần Chưa Vesting, trừ việc chuyển nhượng theo Điều 4.</w:t>
      </w:r>
    </w:p>
    <w:p>
      <w:pPr>
        <w:tabs>
          <w:tab w:val="left" w:pos="624"/>
        </w:tabs>
        <w:spacing w:after="100" w:line="288"/>
        <w:ind w:left="624" w:hanging="624"/>
        <w:jc w:val="both"/>
      </w:pPr>
      <w:r>
        <w:t xml:space="preserve">6.2	</w:t>
      </w:r>
      <w:r>
        <w:t xml:space="preserve">Việc chuyển nhượng Cổ Phần Đã Vesting tuân theo Điều lệ, thoả thuận cổ đông và Điều 120 Luật Doanh nghiệp 2020.</w:t>
      </w:r>
    </w:p>
    <w:p>
      <w:pPr>
        <w:tabs>
          <w:tab w:val="left" w:pos="624"/>
        </w:tabs>
        <w:spacing w:after="100" w:line="288"/>
        <w:ind w:left="624" w:hanging="624"/>
        <w:jc w:val="both"/>
      </w:pPr>
      <w:r>
        <w:t xml:space="preserve">6.3	</w:t>
      </w:r>
      <w:r>
        <w:t xml:space="preserve">Người nhận chuyển nhượng hoặc thừa kế bất kỳ Cổ Phần Chịu Vesting nào phải cam kết bằng văn bản tuân thủ Thoả thuận này như Người Sáng Lập.</w:t>
      </w:r>
    </w:p>
    <w:p>
      <w:pPr>
        <w:pStyle w:val="Heading2"/>
        <w:keepNext/>
        <w:spacing w:after="100" w:before="200"/>
      </w:pPr>
      <w:r>
        <w:t xml:space="preserve">Điều 7. Cam kết khác của Người Sáng Lập</w:t>
      </w:r>
    </w:p>
    <w:p>
      <w:pPr>
        <w:tabs>
          <w:tab w:val="left" w:pos="624"/>
        </w:tabs>
        <w:spacing w:after="100" w:line="288"/>
        <w:ind w:left="624" w:hanging="624"/>
        <w:jc w:val="both"/>
      </w:pPr>
      <w:r>
        <w:t xml:space="preserve">7.1	</w:t>
      </w:r>
      <w:r>
        <w:t xml:space="preserve">Người Sáng Lập làm việc toàn thời gian cho Công ty và không đồng thời điều hành, góp vốn chi phối hoặc làm việc cho doanh nghiệp cạnh tranh, trừ khi Hội đồng quản trị chấp thuận bằng văn bản.</w:t>
      </w:r>
    </w:p>
    <w:p>
      <w:pPr>
        <w:tabs>
          <w:tab w:val="left" w:pos="624"/>
        </w:tabs>
        <w:spacing w:after="100" w:line="288"/>
        <w:ind w:left="624" w:hanging="624"/>
        <w:jc w:val="both"/>
      </w:pPr>
      <w:r>
        <w:t xml:space="preserve">7.2	</w:t>
      </w:r>
      <w:r>
        <w:t xml:space="preserve">Người Sáng Lập đã ký hoặc sẽ ký trong </w:t>
      </w:r>
      <w:r>
        <w:rPr>
          <w:shd w:fill="FBE7DA" w:color="auto" w:val="clear"/>
        </w:rPr>
        <w:t xml:space="preserve">[30]</w:t>
      </w:r>
      <w:r>
        <w:t xml:space="preserve"> ngày thoả thuận chuyển giao toàn bộ quyền sở hữu trí tuệ liên quan đến hoạt động của Công ty về Công ty.</w:t>
      </w:r>
    </w:p>
    <w:p>
      <w:pPr>
        <w:pStyle w:val="Heading2"/>
        <w:keepNext/>
        <w:spacing w:after="100" w:before="200"/>
      </w:pPr>
      <w:r>
        <w:t xml:space="preserve">Điều 8. Thuế và chi phí</w:t>
      </w:r>
    </w:p>
    <w:p>
      <w:pPr>
        <w:spacing w:after="120" w:line="288"/>
        <w:jc w:val="both"/>
      </w:pPr>
      <w:r>
        <w:t xml:space="preserve">Mỗi bên tự chịu thuế và chi phí phát sinh cho mình từ các giao dịch theo Thoả thuận này. Công ty hỗ trợ thủ tục cập nhật sổ đăng ký cổ đông và thông báo với cơ quan nhà nước (nếu có).</w:t>
      </w:r>
    </w:p>
    <w:p>
      <w:pPr>
        <w:pStyle w:val="Heading2"/>
        <w:keepNext/>
        <w:spacing w:after="100" w:before="200"/>
      </w:pPr>
      <w:r>
        <w:t xml:space="preserve">Điều 9. Hiệu lực và sửa đổi</w:t>
      </w:r>
    </w:p>
    <w:p>
      <w:pPr>
        <w:tabs>
          <w:tab w:val="left" w:pos="624"/>
        </w:tabs>
        <w:spacing w:after="100" w:line="288"/>
        <w:ind w:left="624" w:hanging="624"/>
        <w:jc w:val="both"/>
      </w:pPr>
      <w:r>
        <w:t xml:space="preserve">9.1	</w:t>
      </w:r>
      <w:r>
        <w:t xml:space="preserve">Thoả thuận có hiệu lực từ ngày ký và chấm dứt khi toàn bộ Cổ Phần Chịu Vesting đã được giải phóng hoặc đã được mua lại theo Điều 4.</w:t>
      </w:r>
    </w:p>
    <w:p>
      <w:pPr>
        <w:tabs>
          <w:tab w:val="left" w:pos="624"/>
        </w:tabs>
        <w:spacing w:after="100" w:line="288"/>
        <w:ind w:left="624" w:hanging="624"/>
        <w:jc w:val="both"/>
      </w:pPr>
      <w:r>
        <w:t xml:space="preserve">9.2	</w:t>
      </w:r>
      <w:r>
        <w:t xml:space="preserve">Mọi sửa đổi phải lập thành văn bản, có chữ ký của các bên và </w:t>
      </w:r>
      <w:r>
        <w:rPr>
          <w:shd w:fill="FBE7DA" w:color="auto" w:val="clear"/>
        </w:rPr>
        <w:t xml:space="preserve">[được nhà đầu tư nắm cổ phần ưu đãi chấp thuận nếu thoả thuận cổ đông có yêu cầu]</w:t>
      </w:r>
      <w:r>
        <w:t xml:space="preserve">.</w:t>
      </w:r>
    </w:p>
    <w:p>
      <w:pPr>
        <w:tabs>
          <w:tab w:val="left" w:pos="624"/>
        </w:tabs>
        <w:spacing w:after="100" w:line="288"/>
        <w:ind w:left="624" w:hanging="624"/>
        <w:jc w:val="both"/>
      </w:pPr>
      <w:r>
        <w:t xml:space="preserve">9.3	</w:t>
      </w:r>
      <w:r>
        <w:t xml:space="preserve">Nếu Thoả thuận này mâu thuẫn với Điều lệ hoặc thoả thuận cổ đông, các bên phối hợp sửa đổi văn bản liên quan để đạt được mục đích của Thoả thuận này.</w:t>
      </w:r>
    </w:p>
    <w:p>
      <w:pPr>
        <w:pStyle w:val="Heading2"/>
        <w:keepNext/>
        <w:spacing w:after="100" w:before="200"/>
      </w:pPr>
      <w:r>
        <w:t xml:space="preserve">Điều 10. Luật áp dụng và giải quyết tranh chấp</w:t>
      </w:r>
    </w:p>
    <w:p>
      <w:pPr>
        <w:spacing w:after="120" w:line="288"/>
        <w:jc w:val="both"/>
      </w:pPr>
      <w:r>
        <w:t xml:space="preserve">Thoả thuận được điều chỉnh bởi pháp luật Việt Nam. Tranh chấp được thương lượng trong </w:t>
      </w:r>
      <w:r>
        <w:rPr>
          <w:shd w:fill="FBE7DA" w:color="auto" w:val="clear"/>
        </w:rPr>
        <w:t xml:space="preserve">[30]</w:t>
      </w:r>
      <w:r>
        <w:t xml:space="preserve"> ngày; nếu không thành, được giải quyết tại </w:t>
      </w:r>
      <w:r>
        <w:rPr>
          <w:shd w:fill="FBE7DA" w:color="auto" w:val="clear"/>
        </w:rPr>
        <w:t xml:space="preserve">[Trung tâm Trọng tài Quốc tế Việt Nam (VIAC) theo Quy tắc tố tụng trọng tài của Trung tâm / Toà án nhân dân có thẩm quyền]</w:t>
      </w:r>
      <w:r>
        <w:t xml:space="preserve">.</w:t>
      </w:r>
    </w:p>
    <w:p>
      <w:pPr>
        <w:spacing w:after="120" w:line="288"/>
        <w:jc w:val="both"/>
      </w:pPr>
      <w:r>
        <w:t xml:space="preserve">Thoả thuận được lập thành </w:t>
      </w:r>
      <w:r>
        <w:rPr>
          <w:shd w:fill="FBE7DA" w:color="auto" w:val="clear"/>
        </w:rPr>
        <w:t xml:space="preserve">[●]</w:t>
      </w:r>
      <w:r>
        <w:t xml:space="preserve"> bản có giá trị như nhau, mỗi bên giữ </w:t>
      </w:r>
      <w:r>
        <w:rPr>
          <w:shd w:fill="FBE7DA" w:color="auto" w:val="clear"/>
        </w:rPr>
        <w:t xml:space="preserve">[01]</w:t>
      </w:r>
      <w:r>
        <w:t xml:space="preserve"> bản, Công ty giữ </w:t>
      </w:r>
      <w:r>
        <w:rPr>
          <w:shd w:fill="FBE7DA" w:color="auto" w:val="clear"/>
        </w:rPr>
        <w:t xml:space="preserve">[01]</w:t>
      </w:r>
      <w:r>
        <w:t xml:space="preserve"> bản.</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CÔNG TY</w:t>
            </w:r>
          </w:p>
          <w:p>
            <w:pPr>
              <w:spacing w:after="1100"/>
              <w:jc w:val="center"/>
            </w:pPr>
            <w:r>
              <w:rPr>
                <w:i/>
                <w:iCs/>
                <w:color w:val="5B6577"/>
                <w:sz w:val="20"/>
                <w:szCs w:val="20"/>
              </w:rPr>
              <w:t xml:space="preserve">(Ký, ghi rõ họ tên, đóng dấu)</w:t>
            </w:r>
          </w:p>
          <w:p>
            <w:pPr>
              <w:spacing w:after="240"/>
              <w:jc w:val="center"/>
            </w:pPr>
            <w:r>
              <w:rPr>
                <w:shd w:fill="FBE7DA" w:color="auto" w:val="clear"/>
              </w:rPr>
              <w:t xml:space="preserve">[Họ tên người đại diện]</w:t>
            </w:r>
          </w:p>
        </w:tc>
        <w:tc>
          <w:tcPr>
            <w:tcW w:type="dxa" w:w="4819"/>
            <w:tcMar>
              <w:top w:type="dxa" w:w="80"/>
              <w:left w:type="dxa" w:w="120"/>
              <w:bottom w:type="dxa" w:w="80"/>
              <w:right w:type="dxa" w:w="120"/>
            </w:tcMar>
          </w:tcPr>
          <w:p>
            <w:pPr>
              <w:spacing w:after="40"/>
              <w:jc w:val="center"/>
            </w:pPr>
            <w:r>
              <w:rPr>
                <w:b/>
                <w:bCs/>
              </w:rPr>
              <w:t xml:space="preserve">NGƯỜI SÁNG LẬP</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r>
      <w:tr>
        <w:trPr>
          <w:cantSplit/>
        </w:trPr>
        <w:tc>
          <w:tcPr>
            <w:tcW w:type="dxa" w:w="4819"/>
            <w:tcMar>
              <w:top w:type="dxa" w:w="80"/>
              <w:left w:type="dxa" w:w="120"/>
              <w:bottom w:type="dxa" w:w="80"/>
              <w:right w:type="dxa" w:w="120"/>
            </w:tcMar>
          </w:tcPr>
          <w:p>
            <w:pPr>
              <w:spacing w:after="40"/>
              <w:jc w:val="center"/>
            </w:pPr>
            <w:r>
              <w:rPr>
                <w:b/>
                <w:bCs/>
              </w:rPr>
              <w:t xml:space="preserve">CÁC CỔ ĐÔNG SÁNG LẬP KHÁC</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c>
          <w:tcPr>
            <w:tcW w:type="dxa" w:w="4819"/>
            <w:tcMar>
              <w:top w:type="dxa" w:w="80"/>
              <w:left w:type="dxa" w:w="120"/>
              <w:bottom w:type="dxa" w:w="80"/>
              <w:right w:type="dxa" w:w="120"/>
            </w:tcMar>
          </w:tcPr>
          <w:p>
            <w:r>
              <w:t xml:space="preserve"/>
            </w:r>
          </w:p>
        </w:tc>
      </w:tr>
    </w:tbl>
    <w:p>
      <w:r>
        <w:br w:type="page"/>
      </w:r>
    </w:p>
    <w:p>
      <w:pPr>
        <w:pStyle w:val="Heading1"/>
        <w:keepNext/>
        <w:spacing w:after="120" w:before="280"/>
      </w:pPr>
      <w:r>
        <w:t xml:space="preserve">Phụ lục 1. Lịch giải phóng cổ phần</w:t>
      </w:r>
    </w:p>
    <w:p>
      <w:pPr>
        <w:spacing w:after="120" w:line="288"/>
        <w:jc w:val="both"/>
      </w:pPr>
      <w:r>
        <w:t xml:space="preserve">Áp dụng cho </w:t>
      </w:r>
      <w:r>
        <w:rPr>
          <w:shd w:fill="FBE7DA" w:color="auto" w:val="clear"/>
        </w:rPr>
        <w:t xml:space="preserve">[●]</w:t>
      </w:r>
      <w:r>
        <w:t xml:space="preserve"> Cổ Phần Chịu Vesting, Ngày Bắt Đầu Vesting </w:t>
      </w:r>
      <w:r>
        <w:rPr>
          <w:shd w:fill="FBE7DA" w:color="auto" w:val="clear"/>
        </w:rPr>
        <w:t xml:space="preserve">[●]</w:t>
      </w:r>
      <w:r>
        <w:t xml:space="preserve">. Ví dụ dưới đây tính cho 120.000 cổ phần; thay bằng số của bạn.</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1700"/>
        <w:gridCol w:w="1900"/>
        <w:gridCol w:w="2000"/>
        <w:gridCol w:w="2100"/>
        <w:gridCol w:w="1938"/>
      </w:tblGrid>
      <w:tr>
        <w:trPr>
          <w:tblHeader/>
        </w:trPr>
        <w:tc>
          <w:tcPr>
            <w:tcW w:type="dxa" w:w="17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Mốc</w:t>
            </w:r>
          </w:p>
        </w:tc>
        <w:tc>
          <w:tcPr>
            <w:tcW w:type="dxa" w:w="19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Ngày</w:t>
            </w:r>
          </w:p>
        </w:tc>
        <w:tc>
          <w:tcPr>
            <w:tcW w:type="dxa" w:w="20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Giải phóng trong kỳ</w:t>
            </w:r>
          </w:p>
        </w:tc>
        <w:tc>
          <w:tcPr>
            <w:tcW w:type="dxa" w:w="21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Luỹ kế đã vesting</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Tỷ lệ luỹ kế</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12 (cliff)</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30.000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25%</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13 tới 23</w:t>
            </w:r>
          </w:p>
        </w:tc>
        <w:tc>
          <w:tcPr>
            <w:tcW w:type="dxa" w:w="1900"/>
            <w:tcMar>
              <w:top w:type="dxa" w:w="80"/>
              <w:left w:type="dxa" w:w="120"/>
              <w:bottom w:type="dxa" w:w="80"/>
              <w:right w:type="dxa" w:w="120"/>
            </w:tcMar>
          </w:tcPr>
          <w:p>
            <w:pPr>
              <w:spacing w:after="40" w:line="264"/>
              <w:jc w:val="left"/>
            </w:pPr>
            <w:r>
              <w:rPr>
                <w:b w:val="false"/>
                <w:bCs w:val="false"/>
                <w:sz w:val="20"/>
                <w:szCs w:val="20"/>
              </w:rPr>
              <w:t xml:space="preserve">mỗi tháng</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32.500 tới 57.500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27,1% tới 47,9%</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24</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60.000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50%</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36</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90.000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75%</w:t>
            </w:r>
          </w:p>
        </w:tc>
      </w:tr>
      <w:tr>
        <w:trPr>
          <w:cantSplit/>
        </w:trPr>
        <w:tc>
          <w:tcPr>
            <w:tcW w:type="dxa" w:w="17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Tháng 48</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000"/>
            <w:tcMar>
              <w:top w:type="dxa" w:w="80"/>
              <w:left w:type="dxa" w:w="120"/>
              <w:bottom w:type="dxa" w:w="80"/>
              <w:right w:type="dxa" w:w="120"/>
            </w:tcMar>
          </w:tcPr>
          <w:p>
            <w:pPr>
              <w:spacing w:after="40" w:line="264"/>
              <w:jc w:val="left"/>
            </w:pPr>
            <w:r>
              <w:rPr>
                <w:b w:val="false"/>
                <w:bCs w:val="false"/>
                <w:sz w:val="20"/>
                <w:szCs w:val="20"/>
              </w:rPr>
              <w:t xml:space="preserve">2.500</w:t>
            </w:r>
          </w:p>
        </w:tc>
        <w:tc>
          <w:tcPr>
            <w:tcW w:type="dxa" w:w="2100"/>
            <w:tcMar>
              <w:top w:type="dxa" w:w="80"/>
              <w:left w:type="dxa" w:w="120"/>
              <w:bottom w:type="dxa" w:w="80"/>
              <w:right w:type="dxa" w:w="120"/>
            </w:tcMar>
          </w:tcPr>
          <w:p>
            <w:pPr>
              <w:spacing w:after="40" w:line="264"/>
              <w:jc w:val="left"/>
            </w:pPr>
            <w:r>
              <w:rPr>
                <w:b w:val="false"/>
                <w:bCs w:val="false"/>
                <w:sz w:val="20"/>
                <w:szCs w:val="20"/>
              </w:rPr>
              <w:t xml:space="preserve">120.000</w:t>
            </w:r>
          </w:p>
        </w:tc>
        <w:tc>
          <w:tcPr>
            <w:tcW w:type="dxa" w:w="1938"/>
            <w:tcMar>
              <w:top w:type="dxa" w:w="80"/>
              <w:left w:type="dxa" w:w="120"/>
              <w:bottom w:type="dxa" w:w="80"/>
              <w:right w:type="dxa" w:w="120"/>
            </w:tcMar>
          </w:tcPr>
          <w:p>
            <w:pPr>
              <w:spacing w:after="40" w:line="264"/>
              <w:jc w:val="left"/>
            </w:pPr>
            <w:r>
              <w:rPr>
                <w:b w:val="false"/>
                <w:bCs w:val="false"/>
                <w:sz w:val="20"/>
                <w:szCs w:val="20"/>
              </w:rPr>
              <w:t xml:space="preserve">100%</w:t>
            </w:r>
          </w:p>
        </w:tc>
      </w:tr>
    </w:tbl>
    <w:p>
      <w:pPr>
        <w:spacing w:after="120"/>
      </w:pPr>
    </w:p>
    <w:p>
      <w:pPr>
        <w:pStyle w:val="Heading1"/>
        <w:keepNext/>
        <w:spacing w:after="120" w:before="280"/>
      </w:pPr>
      <w:r>
        <w:t xml:space="preserve">Phụ lục 2. Danh sách các cổ đông sáng lập khác</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3200"/>
        <w:gridCol w:w="2400"/>
        <w:gridCol w:w="2100"/>
        <w:gridCol w:w="1938"/>
      </w:tblGrid>
      <w:tr>
        <w:trPr>
          <w:tblHeader/>
        </w:trPr>
        <w:tc>
          <w:tcPr>
            <w:tcW w:type="dxa" w:w="32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Họ tên</w:t>
            </w:r>
          </w:p>
        </w:tc>
        <w:tc>
          <w:tcPr>
            <w:tcW w:type="dxa" w:w="24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CCCD</w:t>
            </w:r>
          </w:p>
        </w:tc>
        <w:tc>
          <w:tcPr>
            <w:tcW w:type="dxa" w:w="21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Số cổ phần</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Tỷ lệ</w:t>
            </w:r>
          </w:p>
        </w:tc>
      </w:tr>
      <w:tr>
        <w:trPr>
          <w:cantSplit/>
        </w:trPr>
        <w:tc>
          <w:tcPr>
            <w:tcW w:type="dxa" w:w="3200"/>
            <w:shd w:fill="EEF1F6" w:color="auto" w:val="clear"/>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4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1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3200"/>
            <w:shd w:fill="EEF1F6" w:color="auto" w:val="clear"/>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4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21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bl>
    <w:p>
      <w:pPr>
        <w:spacing w:after="120"/>
      </w:pPr>
    </w:p>
    <w:p>
      <w:pPr>
        <w:pStyle w:val="Heading1"/>
        <w:keepNext/>
        <w:spacing w:after="120" w:before="280"/>
      </w:pPr>
      <w:r>
        <w:t xml:space="preserve">Phụ lục 3. Giấy uỷ quyền ký hồ sơ chuyển nhượng</w:t>
      </w:r>
    </w:p>
    <w:p>
      <w:pPr>
        <w:spacing w:after="120" w:line="288"/>
        <w:jc w:val="both"/>
      </w:pPr>
      <w:r>
        <w:t xml:space="preserve">Tôi, </w:t>
      </w:r>
      <w:r>
        <w:rPr>
          <w:shd w:fill="FBE7DA" w:color="auto" w:val="clear"/>
        </w:rPr>
        <w:t xml:space="preserve">[Họ tên Người Sáng Lập]</w:t>
      </w:r>
      <w:r>
        <w:t xml:space="preserve">, CCCD số </w:t>
      </w:r>
      <w:r>
        <w:rPr>
          <w:shd w:fill="FBE7DA" w:color="auto" w:val="clear"/>
        </w:rPr>
        <w:t xml:space="preserve">[●]</w:t>
      </w:r>
      <w:r>
        <w:t xml:space="preserve">, uỷ quyền cho </w:t>
      </w:r>
      <w:r>
        <w:rPr>
          <w:shd w:fill="FBE7DA" w:color="auto" w:val="clear"/>
        </w:rPr>
        <w:t xml:space="preserve">[chức danh, họ tên người được uỷ quyền]</w:t>
      </w:r>
      <w:r>
        <w:t xml:space="preserve"> thay mặt tôi ký hợp đồng chuyển nhượng và các hồ sơ cần thiết để chuyển nhượng cổ phần trong các trường hợp quy định tại Điều 4 Thoả thuận vesting số </w:t>
      </w:r>
      <w:r>
        <w:rPr>
          <w:shd w:fill="FBE7DA" w:color="auto" w:val="clear"/>
        </w:rPr>
        <w:t xml:space="preserve">[●]</w:t>
      </w:r>
      <w:r>
        <w:t xml:space="preserve">. Uỷ quyền có hiệu lực tới khi Thoả thuận chấm dứt và không được huỷ ngang trong thời hạn đó.</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NGƯỜI UỶ QUYỀN</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c>
          <w:tcPr>
            <w:tcW w:type="dxa" w:w="4819"/>
            <w:tcMar>
              <w:top w:type="dxa" w:w="80"/>
              <w:left w:type="dxa" w:w="120"/>
              <w:bottom w:type="dxa" w:w="80"/>
              <w:right w:type="dxa" w:w="120"/>
            </w:tcMar>
          </w:tcPr>
          <w:p>
            <w:pPr>
              <w:spacing w:after="40"/>
              <w:jc w:val="center"/>
            </w:pPr>
            <w:r>
              <w:rPr>
                <w:b/>
                <w:bCs/>
              </w:rPr>
              <w:t xml:space="preserve">NGƯỜI ĐƯỢC UỶ QUYỀN</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r>
    </w:tbl>
    <w:p>
      <w:pPr>
        <w:pBdr>
          <w:left w:val="single" w:color="D9692B" w:sz="12" w:space="8"/>
        </w:pBdr>
        <w:spacing w:after="140" w:line="276"/>
        <w:ind w:left="284"/>
        <w:jc w:val="both"/>
      </w:pPr>
      <w:r>
        <w:rPr>
          <w:b/>
          <w:bCs/>
          <w:i/>
          <w:iCs/>
          <w:color w:val="D9692B"/>
          <w:sz w:val="20"/>
          <w:szCs w:val="20"/>
        </w:rPr>
        <w:t xml:space="preserve">Ghi chú cho founder: </w:t>
      </w:r>
      <w:r>
        <w:rPr>
          <w:i/>
          <w:iCs/>
          <w:color w:val="5B6577"/>
          <w:sz w:val="20"/>
          <w:szCs w:val="20"/>
        </w:rPr>
        <w:t xml:space="preserve">Một số trường hợp uỷ quyền cần công chứng hoặc chứng thực để được chấp nhận khi làm thủ tục. Hỏi luật sư trước khi ký.</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7"/>
        <w:sz w:val="16"/>
        <w:szCs w:val="16"/>
      </w:rPr>
      <w:t xml:space="preserve">Mẫu thoả thuận vesting cổ phần sáng lập, fundraising.vn, bản 1.0 (10/2026)   |   </w:t>
    </w:r>
    <w:r>
      <w:rPr>
        <w:color w:val="5B6577"/>
        <w:sz w:val="16"/>
        <w:szCs w:val="16"/>
      </w:rPr>
      <w:fldChar w:fldCharType="begin"/>
      <w:instrText xml:space="preserve">PAGE</w:instrText>
      <w:fldChar w:fldCharType="separate"/>
      <w:fldChar w:fldCharType="end"/>
    </w:r>
    <w:r>
      <w:rPr>
        <w:color w:val="5B6577"/>
        <w:sz w:val="16"/>
        <w:szCs w:val="16"/>
      </w:rPr>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C2B4A"/>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color w:val="1C2B4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thoả thuận vesting cổ phần sáng lập, fundraising.vn, bản 1.0 (10/2026)</dc:title>
  <dc:creator>fundraising.vn</dc:creator>
  <cp:lastModifiedBy>Un-named</cp:lastModifiedBy>
  <cp:revision>1</cp:revision>
  <dcterms:created xsi:type="dcterms:W3CDTF">2026-10-19T09:23:42.077Z</dcterms:created>
  <dcterms:modified xsi:type="dcterms:W3CDTF">2026-10-19T09:23:42.078Z</dcterms:modified>
</cp:coreProperties>
</file>

<file path=docProps/custom.xml><?xml version="1.0" encoding="utf-8"?>
<Properties xmlns="http://schemas.openxmlformats.org/officeDocument/2006/custom-properties" xmlns:vt="http://schemas.openxmlformats.org/officeDocument/2006/docPropsVTypes"/>
</file>