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9692B"/>
          <w:spacing w:val="20"/>
          <w:sz w:val="18"/>
          <w:szCs w:val="18"/>
        </w:rPr>
        <w:t xml:space="preserve">REFERENCE TEMPLATE BY FUNDRAISING.VN</w:t>
      </w:r>
    </w:p>
    <w:p>
      <w:pPr>
        <w:spacing w:after="80"/>
        <w:jc w:val="center"/>
      </w:pPr>
      <w:r>
        <w:rPr>
          <w:b/>
          <w:bCs/>
          <w:color w:val="1C2B4A"/>
          <w:sz w:val="32"/>
          <w:szCs w:val="32"/>
        </w:rPr>
        <w:t xml:space="preserve">FOUNDER SHARE VESTING AGREEMENT</w:t>
      </w:r>
    </w:p>
    <w:p>
      <w:pPr>
        <w:spacing w:after="240"/>
        <w:jc w:val="center"/>
      </w:pPr>
      <w:r>
        <w:rPr>
          <w:color w:val="5B6577"/>
          <w:sz w:val="22"/>
          <w:szCs w:val="22"/>
        </w:rPr>
        <w:t xml:space="preserve">For joint stock companies in Vietnam, angel and pre-seed rounds</w:t>
      </w:r>
    </w:p>
    <w:tbl>
      <w:tblPr>
        <w:tblW w:type="dxa" w:w="9638"/>
        <w:tblBorders>
          <w:top w:val="single" w:color="D9692B" w:sz="12"/>
          <w:left w:val="single" w:color="C9CFDA" w:sz="4"/>
          <w:bottom w:val="single" w:color="C9CFDA" w:sz="4"/>
          <w:right w:val="single" w:color="C9CFDA" w:sz="4"/>
          <w:insideH w:val="single" w:color="auto" w:sz="4"/>
          <w:insideV w:val="single" w:color="auto" w:sz="4"/>
        </w:tblBorders>
      </w:tblPr>
      <w:tblGrid>
        <w:gridCol w:w="9638"/>
      </w:tblGrid>
      <w:tr>
        <w:tc>
          <w:tcPr>
            <w:tcW w:type="dxa" w:w="9638"/>
            <w:shd w:fill="FFF8F3" w:color="auto" w:val="clear"/>
            <w:tcMar>
              <w:top w:type="dxa" w:w="80"/>
              <w:left w:type="dxa" w:w="120"/>
              <w:bottom w:type="dxa" w:w="80"/>
              <w:right w:type="dxa" w:w="120"/>
            </w:tcMar>
          </w:tcPr>
          <w:p>
            <w:pPr>
              <w:spacing w:after="60" w:line="264"/>
            </w:pPr>
            <w:r>
              <w:rPr>
                <w:b/>
                <w:bCs/>
                <w:sz w:val="20"/>
                <w:szCs w:val="20"/>
              </w:rPr>
              <w:t xml:space="preserve">Read before use</w:t>
            </w:r>
          </w:p>
          <w:p>
            <w:pPr>
              <w:spacing w:after="60" w:line="264"/>
            </w:pPr>
            <w:r>
              <w:rPr>
                <w:b w:val="false"/>
                <w:bCs w:val="false"/>
                <w:sz w:val="20"/>
                <w:szCs w:val="20"/>
              </w:rPr>
              <w:t xml:space="preserve">This is a reference template to help co-founders understand the structure and agree on the main choices before working with a lawyer. It is not legal advice and has not been tailored to your situation.</w:t>
            </w:r>
          </w:p>
          <w:p>
            <w:pPr>
              <w:spacing w:after="60" w:line="264"/>
            </w:pPr>
            <w:r>
              <w:rPr>
                <w:b w:val="false"/>
                <w:bCs w:val="false"/>
                <w:sz w:val="20"/>
                <w:szCs w:val="20"/>
              </w:rPr>
              <w:t xml:space="preserve">Fields shaded orange, such as </w:t>
            </w:r>
            <w:r>
              <w:rPr>
                <w:b w:val="false"/>
                <w:bCs w:val="false"/>
                <w:sz w:val="20"/>
                <w:szCs w:val="20"/>
                <w:shd w:fill="FBE7DA" w:color="auto" w:val="clear"/>
              </w:rPr>
              <w:t xml:space="preserve">[Company name]</w:t>
            </w:r>
            <w:r>
              <w:rPr>
                <w:b w:val="false"/>
                <w:bCs w:val="false"/>
                <w:sz w:val="20"/>
                <w:szCs w:val="20"/>
              </w:rPr>
              <w:t xml:space="preserve">, must be filled in or chosen. Italic paragraphs with an orange bar are explanatory notes; delete them before signing.</w:t>
            </w:r>
          </w:p>
          <w:p>
            <w:pPr>
              <w:spacing w:after="60" w:line="264"/>
            </w:pPr>
            <w:r>
              <w:rPr>
                <w:b w:val="false"/>
                <w:bCs w:val="false"/>
                <w:sz w:val="20"/>
                <w:szCs w:val="20"/>
              </w:rPr>
              <w:t xml:space="preserve">A Vietnamese version is available on the same download page. If you sign a bilingual version, state which language prevails in case of inconsistency.</w:t>
            </w:r>
          </w:p>
        </w:tc>
      </w:tr>
    </w:tbl>
    <w:p>
      <w:pPr>
        <w:spacing w:after="160"/>
      </w:pPr>
    </w:p>
    <w:p>
      <w:pPr>
        <w:pStyle w:val="Heading1"/>
        <w:keepNext/>
        <w:spacing w:after="120" w:before="280"/>
      </w:pPr>
      <w:r>
        <w:t xml:space="preserve">Part A. How to use this template</w:t>
      </w:r>
    </w:p>
    <w:p>
      <w:pPr>
        <w:pStyle w:val="Heading2"/>
        <w:keepNext/>
        <w:spacing w:after="100" w:before="200"/>
      </w:pPr>
      <w:r>
        <w:t xml:space="preserve">What vesting is and why investors always ask</w:t>
      </w:r>
    </w:p>
    <w:p>
      <w:pPr>
        <w:spacing w:after="120" w:line="288"/>
        <w:jc w:val="both"/>
      </w:pPr>
      <w:r>
        <w:t xml:space="preserve">Vesting means a founder earns their shares over time by staying with the company. If a founder leaves early, the unvested portion is bought back at a low price and given to the people who keep building the company. Without vesting, a co-founder who quits after six months still owns 30% of the company, and almost no fund will invest in a cap table like that.</w:t>
      </w:r>
    </w:p>
    <w:p>
      <w:pPr>
        <w:spacing w:after="120" w:line="288"/>
        <w:jc w:val="both"/>
      </w:pPr>
      <w:r>
        <w:t xml:space="preserve">In Vietnam, a shareholder owns their shares as soon as the capital is contributed and recorded in the shareholder register. Vesting here is therefore </w:t>
      </w:r>
      <w:r>
        <w:rPr>
          <w:b/>
          <w:bCs/>
        </w:rPr>
        <w:t xml:space="preserve">reverse vesting</w:t>
      </w:r>
      <w:r>
        <w:t xml:space="preserve">: the founder owns all shares from day one but agrees to sell back the unvested portion on leaving. This template is written that way.</w:t>
      </w:r>
    </w:p>
    <w:p>
      <w:pPr>
        <w:pStyle w:val="Heading2"/>
        <w:keepNext/>
        <w:spacing w:after="100" w:before="200"/>
      </w:pPr>
      <w:r>
        <w:t xml:space="preserve">Main choices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200"/>
        <w:gridCol w:w="2650"/>
        <w:gridCol w:w="2400"/>
        <w:gridCol w:w="2388"/>
      </w:tblGrid>
      <w:tr>
        <w:trPr>
          <w:tblHeader/>
        </w:trPr>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Term</w:t>
            </w:r>
          </w:p>
        </w:tc>
        <w:tc>
          <w:tcPr>
            <w:tcW w:type="dxa" w:w="265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Market standard</w:t>
            </w:r>
          </w:p>
        </w:tc>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More founder friendly</w:t>
            </w:r>
          </w:p>
        </w:tc>
        <w:tc>
          <w:tcPr>
            <w:tcW w:type="dxa" w:w="2388"/>
            <w:shd w:fill="1C2B4A" w:color="auto" w:val="clear"/>
            <w:tcMar>
              <w:top w:type="dxa" w:w="80"/>
              <w:left w:type="dxa" w:w="120"/>
              <w:bottom w:type="dxa" w:w="80"/>
              <w:right w:type="dxa" w:w="120"/>
            </w:tcMar>
          </w:tcPr>
          <w:p>
            <w:pPr>
              <w:spacing w:after="40" w:line="264"/>
              <w:jc w:val="left"/>
            </w:pPr>
            <w:r>
              <w:rPr>
                <w:b/>
                <w:bCs/>
                <w:color w:val="FFFFFF"/>
                <w:sz w:val="20"/>
                <w:szCs w:val="20"/>
              </w:rPr>
              <w:t xml:space="preserve">What investors may ask for</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Total period</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48 months</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36 months</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48 months, restarting at the investment date</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Cliff</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12 months, 25% vests</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6 months or no cliff</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12 months</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Credit for time served</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6 to 12 months already worked</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All time already worked</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None, start from zero</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Buyback price of unvested shares</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Amount paid (usually par value)</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Fair value</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Par value</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Acceleration on sale</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Double trigger, 100% of the remainder</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Single trigger (sale alone)</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No acceleration</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Bad leaver</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Keeps vested shares</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Keeps vested shares</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Vested shares also bought back at a low price</w:t>
            </w:r>
          </w:p>
        </w:tc>
      </w:tr>
    </w:tbl>
    <w:p>
      <w:pPr>
        <w:spacing w:after="120"/>
      </w:pPr>
    </w:p>
    <w:p>
      <w:pPr>
        <w:pStyle w:val="Heading2"/>
        <w:keepNext/>
        <w:spacing w:after="100" w:before="200"/>
      </w:pPr>
      <w:r>
        <w:t xml:space="preserve">Five points under Vietnamese law</w:t>
      </w:r>
    </w:p>
    <w:p>
      <w:pPr>
        <w:pStyle w:val="ListParagraph"/>
        <w:numPr>
          <w:ilvl w:val="0"/>
          <w:numId w:val="2"/>
        </w:numPr>
        <w:spacing w:after="80" w:line="276"/>
        <w:jc w:val="both"/>
      </w:pPr>
      <w:r>
        <w:t xml:space="preserve">A buyback between founding shareholders is the simplest route. Under Article 120 of the Law on Enterprises 2020, during the first three years founding shareholders may freely transfer ordinary shares to other founding shareholders; transfers to outsiders need approval of the general meeting of shareholders.</w:t>
      </w:r>
    </w:p>
    <w:p>
      <w:pPr>
        <w:pStyle w:val="ListParagraph"/>
        <w:numPr>
          <w:ilvl w:val="0"/>
          <w:numId w:val="2"/>
        </w:numPr>
        <w:spacing w:after="80" w:line="276"/>
        <w:jc w:val="both"/>
      </w:pPr>
      <w:r>
        <w:t xml:space="preserve">A company buying back its own shares is restricted (Articles 133 and 134 of the Law on Enterprises 2020): there are volume caps, a resolution of the competent body is needed, and the company must remain able to pay its debts after payment. This template makes the company the last buyer, after the remaining founders and any designated person.</w:t>
      </w:r>
    </w:p>
    <w:p>
      <w:pPr>
        <w:pStyle w:val="ListParagraph"/>
        <w:numPr>
          <w:ilvl w:val="0"/>
          <w:numId w:val="2"/>
        </w:numPr>
        <w:spacing w:after="80" w:line="276"/>
        <w:jc w:val="both"/>
      </w:pPr>
      <w:r>
        <w:t xml:space="preserve">Record the vesting mechanism in the shareholders agreement and, where appropriate, the company charter, so that later transferees are also bound.</w:t>
      </w:r>
    </w:p>
    <w:p>
      <w:pPr>
        <w:pStyle w:val="ListParagraph"/>
        <w:numPr>
          <w:ilvl w:val="0"/>
          <w:numId w:val="2"/>
        </w:numPr>
        <w:spacing w:after="80" w:line="276"/>
        <w:jc w:val="both"/>
      </w:pPr>
      <w:r>
        <w:t xml:space="preserve">Share transfers trigger personal income tax and an update of the shareholder register. Ask a tax accountant which transfer price will be accepted for a buyback at par value.</w:t>
      </w:r>
    </w:p>
    <w:p>
      <w:pPr>
        <w:pStyle w:val="ListParagraph"/>
        <w:numPr>
          <w:ilvl w:val="0"/>
          <w:numId w:val="2"/>
        </w:numPr>
        <w:spacing w:after="80" w:line="276"/>
        <w:jc w:val="both"/>
      </w:pPr>
      <w:r>
        <w:t xml:space="preserve">Vesting does not replace an IP assignment. Code, designs and brands created by founders must be transferred to the company in a separate written agreement.</w:t>
      </w:r>
    </w:p>
    <w:p>
      <w:pPr>
        <w:pStyle w:val="Heading2"/>
        <w:keepNext/>
        <w:spacing w:after="100" w:before="200"/>
      </w:pPr>
      <w:r>
        <w:t xml:space="preserve">Worked example</w:t>
      </w:r>
    </w:p>
    <w:p>
      <w:pPr>
        <w:spacing w:after="120" w:line="288"/>
        <w:jc w:val="both"/>
      </w:pPr>
      <w:r>
        <w:t xml:space="preserve">Founder B holds 120,000 shares (par value VND 10,000), vesting over 48 months with a 12-month cliff. After the cliff, 2,500 more shares vest each month.</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400"/>
        <w:gridCol w:w="2200"/>
        <w:gridCol w:w="2200"/>
        <w:gridCol w:w="2838"/>
      </w:tblGrid>
      <w:tr>
        <w:trPr>
          <w:tblHeader/>
        </w:trPr>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When B leaves</w:t>
            </w:r>
          </w:p>
        </w:tc>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Vested</w:t>
            </w:r>
          </w:p>
        </w:tc>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Unvested</w:t>
            </w:r>
          </w:p>
        </w:tc>
        <w:tc>
          <w:tcPr>
            <w:tcW w:type="dxa" w:w="28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Buyback amount for unvested shares (at par)</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8 (before cliff)</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VND 1.2 billion</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12</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90,000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VND 900 million</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30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75,000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45,000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VND 450 million</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48</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No buyback</w:t>
            </w:r>
          </w:p>
        </w:tc>
      </w:tr>
    </w:tbl>
    <w:p>
      <w:pPr>
        <w:spacing w:after="120"/>
      </w:pPr>
    </w:p>
    <w:p>
      <w:r>
        <w:br w:type="page"/>
      </w:r>
    </w:p>
    <w:p>
      <w:pPr>
        <w:pStyle w:val="Heading1"/>
        <w:keepNext/>
        <w:spacing w:after="120" w:before="280"/>
      </w:pPr>
      <w:r>
        <w:t xml:space="preserve">Part B. Agreement template</w:t>
      </w:r>
    </w:p>
    <w:p>
      <w:pPr>
        <w:spacing w:after="120" w:line="288"/>
        <w:jc w:val="center"/>
      </w:pPr>
      <w:r>
        <w:rPr>
          <w:i/>
          <w:iCs/>
          <w:shd w:fill="FBE7DA" w:color="auto" w:val="clear"/>
        </w:rPr>
        <w:t xml:space="preserve">[Place]</w:t>
      </w:r>
      <w:r>
        <w:rPr>
          <w:i/>
          <w:iCs/>
        </w:rPr>
        <w:t xml:space="preserve">, </w:t>
      </w:r>
      <w:r>
        <w:rPr>
          <w:i/>
          <w:iCs/>
          <w:shd w:fill="FBE7DA" w:color="auto" w:val="clear"/>
        </w:rPr>
        <w:t xml:space="preserve">[date]</w:t>
      </w:r>
    </w:p>
    <w:p>
      <w:pPr>
        <w:spacing w:after="80"/>
        <w:jc w:val="center"/>
      </w:pPr>
      <w:r>
        <w:rPr>
          <w:b/>
          <w:bCs/>
          <w:color w:val="1C2B4A"/>
          <w:sz w:val="32"/>
          <w:szCs w:val="32"/>
        </w:rPr>
        <w:t xml:space="preserve">SHARE VESTING AGREEMENT</w:t>
      </w:r>
    </w:p>
    <w:p>
      <w:pPr>
        <w:spacing w:after="240"/>
        <w:jc w:val="center"/>
      </w:pPr>
      <w:r>
        <w:rPr>
          <w:color w:val="5B6577"/>
          <w:sz w:val="22"/>
          <w:szCs w:val="22"/>
        </w:rPr>
        <w:t xml:space="preserve">No. </w:t>
      </w:r>
      <w:r>
        <w:rPr>
          <w:color w:val="5B6577"/>
          <w:sz w:val="22"/>
          <w:szCs w:val="22"/>
          <w:shd w:fill="FBE7DA" w:color="auto" w:val="clear"/>
        </w:rPr>
        <w:t xml:space="preserve">[●]</w:t>
      </w:r>
      <w:r>
        <w:rPr>
          <w:color w:val="5B6577"/>
          <w:sz w:val="22"/>
          <w:szCs w:val="22"/>
        </w:rPr>
        <w:t xml:space="preserve">/</w:t>
      </w:r>
      <w:r>
        <w:rPr>
          <w:color w:val="5B6577"/>
          <w:sz w:val="22"/>
          <w:szCs w:val="22"/>
          <w:shd w:fill="FBE7DA" w:color="auto" w:val="clear"/>
        </w:rPr>
        <w:t xml:space="preserve">[year]</w:t>
      </w:r>
      <w:r>
        <w:rPr>
          <w:color w:val="5B6577"/>
          <w:sz w:val="22"/>
          <w:szCs w:val="22"/>
        </w:rPr>
        <w:t xml:space="preserve">/SVA</w:t>
      </w:r>
    </w:p>
    <w:p>
      <w:pPr>
        <w:spacing w:after="120" w:line="288"/>
        <w:jc w:val="both"/>
      </w:pPr>
      <w:r>
        <w:t xml:space="preserve">Pursuant to the Civil Code 2015; the Law on Enterprises 2020 as amended and supplemented; the Charter of </w:t>
      </w:r>
      <w:r>
        <w:rPr>
          <w:shd w:fill="FBE7DA" w:color="auto" w:val="clear"/>
        </w:rPr>
        <w:t xml:space="preserve">[Company name]</w:t>
      </w:r>
      <w:r>
        <w:t xml:space="preserve">; and the agreement of the parties, this Agreement is made between:</w:t>
      </w:r>
    </w:p>
    <w:p>
      <w:pPr>
        <w:tabs>
          <w:tab w:val="left" w:pos="624"/>
        </w:tabs>
        <w:spacing w:after="100" w:line="288"/>
        <w:ind w:left="624" w:hanging="624"/>
        <w:jc w:val="both"/>
      </w:pPr>
      <w:r>
        <w:t xml:space="preserve">1.	</w:t>
      </w:r>
      <w:r>
        <w:rPr>
          <w:b/>
          <w:bCs/>
          <w:shd w:fill="FBE7DA" w:color="auto" w:val="clear"/>
        </w:rPr>
        <w:t xml:space="preserve">[Company name]</w:t>
      </w:r>
      <w:r>
        <w:rPr>
          <w:b/>
          <w:bCs/>
        </w:rPr>
        <w:t xml:space="preserve"> Joint Stock Company</w:t>
      </w:r>
      <w:r>
        <w:t xml:space="preserve"> (the "Company"), enterprise code </w:t>
      </w:r>
      <w:r>
        <w:rPr>
          <w:shd w:fill="FBE7DA" w:color="auto" w:val="clear"/>
        </w:rPr>
        <w:t xml:space="preserve">[●]</w:t>
      </w:r>
      <w:r>
        <w:t xml:space="preserve">, head office at </w:t>
      </w:r>
      <w:r>
        <w:rPr>
          <w:shd w:fill="FBE7DA" w:color="auto" w:val="clear"/>
        </w:rPr>
        <w:t xml:space="preserve">[●]</w:t>
      </w:r>
      <w:r>
        <w:t xml:space="preserve">, represented by Mr/Ms </w:t>
      </w:r>
      <w:r>
        <w:rPr>
          <w:shd w:fill="FBE7DA" w:color="auto" w:val="clear"/>
        </w:rPr>
        <w:t xml:space="preserve">[●]</w:t>
      </w:r>
      <w:r>
        <w:t xml:space="preserve">, </w:t>
      </w:r>
      <w:r>
        <w:rPr>
          <w:shd w:fill="FBE7DA" w:color="auto" w:val="clear"/>
        </w:rPr>
        <w:t xml:space="preserve">[title]</w:t>
      </w:r>
      <w:r>
        <w:t xml:space="preserve">.</w:t>
      </w:r>
    </w:p>
    <w:p>
      <w:pPr>
        <w:tabs>
          <w:tab w:val="left" w:pos="624"/>
        </w:tabs>
        <w:spacing w:after="100" w:line="288"/>
        <w:ind w:left="624" w:hanging="624"/>
        <w:jc w:val="both"/>
      </w:pPr>
      <w:r>
        <w:t xml:space="preserve">2.	</w:t>
      </w:r>
      <w:r>
        <w:rPr>
          <w:b/>
          <w:bCs/>
        </w:rPr>
        <w:t xml:space="preserve">Mr/Ms </w:t>
      </w:r>
      <w:r>
        <w:rPr>
          <w:b/>
          <w:bCs/>
          <w:shd w:fill="FBE7DA" w:color="auto" w:val="clear"/>
        </w:rPr>
        <w:t xml:space="preserve">[Founder name]</w:t>
      </w:r>
      <w:r>
        <w:t xml:space="preserve"> (the "Founder"), citizen ID no. </w:t>
      </w:r>
      <w:r>
        <w:rPr>
          <w:shd w:fill="FBE7DA" w:color="auto" w:val="clear"/>
        </w:rPr>
        <w:t xml:space="preserve">[●]</w:t>
      </w:r>
      <w:r>
        <w:t xml:space="preserve"> issued on </w:t>
      </w:r>
      <w:r>
        <w:rPr>
          <w:shd w:fill="FBE7DA" w:color="auto" w:val="clear"/>
        </w:rPr>
        <w:t xml:space="preserve">[●]</w:t>
      </w:r>
      <w:r>
        <w:t xml:space="preserve">, address </w:t>
      </w:r>
      <w:r>
        <w:rPr>
          <w:shd w:fill="FBE7DA" w:color="auto" w:val="clear"/>
        </w:rPr>
        <w:t xml:space="preserve">[●]</w:t>
      </w:r>
      <w:r>
        <w:t xml:space="preserve">.</w:t>
      </w:r>
    </w:p>
    <w:p>
      <w:pPr>
        <w:tabs>
          <w:tab w:val="left" w:pos="624"/>
        </w:tabs>
        <w:spacing w:after="100" w:line="288"/>
        <w:ind w:left="624" w:hanging="624"/>
        <w:jc w:val="both"/>
      </w:pPr>
      <w:r>
        <w:t xml:space="preserve">3.	</w:t>
      </w:r>
      <w:r>
        <w:rPr>
          <w:b/>
          <w:bCs/>
        </w:rPr>
        <w:t xml:space="preserve">The other founding shareholders</w:t>
      </w:r>
      <w:r>
        <w:t xml:space="preserve"> listed in Appendix 2 (together, the "Other Founders").</w:t>
      </w:r>
    </w:p>
    <w:p>
      <w:pPr>
        <w:spacing w:after="120" w:line="288"/>
        <w:jc w:val="both"/>
      </w:pPr>
      <w:r>
        <w:t xml:space="preserve">who agree as follows.</w:t>
      </w:r>
    </w:p>
    <w:p>
      <w:pPr>
        <w:pStyle w:val="Heading2"/>
        <w:keepNext/>
        <w:spacing w:after="100" w:before="200"/>
      </w:pPr>
      <w:r>
        <w:t xml:space="preserve">Article 1. Definitions</w:t>
      </w:r>
    </w:p>
    <w:p>
      <w:pPr>
        <w:tabs>
          <w:tab w:val="left" w:pos="624"/>
        </w:tabs>
        <w:spacing w:after="100" w:line="288"/>
        <w:ind w:left="624" w:hanging="624"/>
        <w:jc w:val="both"/>
      </w:pPr>
      <w:r>
        <w:t xml:space="preserve">1.1	</w:t>
      </w:r>
      <w:r>
        <w:rPr>
          <w:b/>
          <w:bCs/>
        </w:rPr>
        <w:t xml:space="preserve">"Vesting Shares"</w:t>
      </w:r>
      <w:r>
        <w:t xml:space="preserve">: </w:t>
      </w:r>
      <w:r>
        <w:rPr>
          <w:shd w:fill="FBE7DA" w:color="auto" w:val="clear"/>
        </w:rPr>
        <w:t xml:space="preserve">[●]</w:t>
      </w:r>
      <w:r>
        <w:t xml:space="preserve"> ordinary shares held by the Founder, representing </w:t>
      </w:r>
      <w:r>
        <w:rPr>
          <w:shd w:fill="FBE7DA" w:color="auto" w:val="clear"/>
        </w:rPr>
        <w:t xml:space="preserve">[●]</w:t>
      </w:r>
      <w:r>
        <w:t xml:space="preserve">% of the charter capital at the date of this Agreement, and any shares arising from them by split, consolidation or share dividend.</w:t>
      </w:r>
    </w:p>
    <w:p>
      <w:pPr>
        <w:tabs>
          <w:tab w:val="left" w:pos="624"/>
        </w:tabs>
        <w:spacing w:after="100" w:line="288"/>
        <w:ind w:left="624" w:hanging="624"/>
        <w:jc w:val="both"/>
      </w:pPr>
      <w:r>
        <w:t xml:space="preserve">1.2	</w:t>
      </w:r>
      <w:r>
        <w:rPr>
          <w:b/>
          <w:bCs/>
        </w:rPr>
        <w:t xml:space="preserve">"Vesting Start Date"</w:t>
      </w:r>
      <w:r>
        <w:t xml:space="preserve">: </w:t>
      </w:r>
      <w:r>
        <w:rPr>
          <w:shd w:fill="FBE7DA" w:color="auto" w:val="clear"/>
        </w:rPr>
        <w:t xml:space="preserve">[●]</w:t>
      </w:r>
      <w:r>
        <w:t xml:space="preserve">. This date may be earlier than the signing date to credit time the Founder has already worked for the Company.</w:t>
      </w:r>
    </w:p>
    <w:p>
      <w:pPr>
        <w:tabs>
          <w:tab w:val="left" w:pos="624"/>
        </w:tabs>
        <w:spacing w:after="100" w:line="288"/>
        <w:ind w:left="624" w:hanging="624"/>
        <w:jc w:val="both"/>
      </w:pPr>
      <w:r>
        <w:t xml:space="preserve">1.3	</w:t>
      </w:r>
      <w:r>
        <w:rPr>
          <w:b/>
          <w:bCs/>
        </w:rPr>
        <w:t xml:space="preserve">"Vested Shares"</w:t>
      </w:r>
      <w:r>
        <w:t xml:space="preserve"> and </w:t>
      </w:r>
      <w:r>
        <w:rPr>
          <w:b/>
          <w:bCs/>
        </w:rPr>
        <w:t xml:space="preserve">"Unvested Shares"</w:t>
      </w:r>
      <w:r>
        <w:t xml:space="preserve">: the part of the Vesting Shares that has or has not been released under Article 3 at a given time.</w:t>
      </w:r>
    </w:p>
    <w:p>
      <w:pPr>
        <w:tabs>
          <w:tab w:val="left" w:pos="624"/>
        </w:tabs>
        <w:spacing w:after="100" w:line="288"/>
        <w:ind w:left="624" w:hanging="624"/>
        <w:jc w:val="both"/>
      </w:pPr>
      <w:r>
        <w:t xml:space="preserve">1.4	</w:t>
      </w:r>
      <w:r>
        <w:rPr>
          <w:b/>
          <w:bCs/>
        </w:rPr>
        <w:t xml:space="preserve">"Termination Date"</w:t>
      </w:r>
      <w:r>
        <w:t xml:space="preserve">: the date the Founder ceases to work full time for the Company as employee, manager or service provider, for any reason.</w:t>
      </w:r>
    </w:p>
    <w:p>
      <w:pPr>
        <w:tabs>
          <w:tab w:val="left" w:pos="624"/>
        </w:tabs>
        <w:spacing w:after="100" w:line="288"/>
        <w:ind w:left="624" w:hanging="624"/>
        <w:jc w:val="both"/>
      </w:pPr>
      <w:r>
        <w:t xml:space="preserve">1.5	</w:t>
      </w:r>
      <w:r>
        <w:rPr>
          <w:b/>
          <w:bCs/>
        </w:rPr>
        <w:t xml:space="preserve">"Cause"</w:t>
      </w:r>
      <w:r>
        <w:t xml:space="preserve">: the Founder (a) materially breaches confidentiality, non-compete or IP assignment obligations to the Company and fails to cure within </w:t>
      </w:r>
      <w:r>
        <w:rPr>
          <w:shd w:fill="FBE7DA" w:color="auto" w:val="clear"/>
        </w:rPr>
        <w:t xml:space="preserve">[30]</w:t>
      </w:r>
      <w:r>
        <w:t xml:space="preserve"> days of notice; (b) commits fraud or misappropriates Company assets; or (c) is convicted of a crime related to the Company's business.</w:t>
      </w:r>
    </w:p>
    <w:p>
      <w:pPr>
        <w:tabs>
          <w:tab w:val="left" w:pos="624"/>
        </w:tabs>
        <w:spacing w:after="100" w:line="288"/>
        <w:ind w:left="624" w:hanging="624"/>
        <w:jc w:val="both"/>
      </w:pPr>
      <w:r>
        <w:t xml:space="preserve">1.6	</w:t>
      </w:r>
      <w:r>
        <w:rPr>
          <w:b/>
          <w:bCs/>
        </w:rPr>
        <w:t xml:space="preserve">"Bad Leaver"</w:t>
      </w:r>
      <w:r>
        <w:t xml:space="preserve">: a Founder whose engagement ends for Cause. Any other termination makes the Founder a </w:t>
      </w:r>
      <w:r>
        <w:rPr>
          <w:b/>
          <w:bCs/>
        </w:rPr>
        <w:t xml:space="preserve">"Good Leaver"</w:t>
      </w:r>
      <w:r>
        <w:t xml:space="preserve">.</w:t>
      </w:r>
    </w:p>
    <w:p>
      <w:pPr>
        <w:tabs>
          <w:tab w:val="left" w:pos="624"/>
        </w:tabs>
        <w:spacing w:after="100" w:line="288"/>
        <w:ind w:left="624" w:hanging="624"/>
        <w:jc w:val="both"/>
      </w:pPr>
      <w:r>
        <w:t xml:space="preserve">1.7	</w:t>
      </w:r>
      <w:r>
        <w:rPr>
          <w:b/>
          <w:bCs/>
        </w:rPr>
        <w:t xml:space="preserve">"Sale Event"</w:t>
      </w:r>
      <w:r>
        <w:t xml:space="preserve">: a transaction after which the persons who were shareholders immediately before it hold less than 50% of the voting rights, or a sale of all or substantially all of the Company's assets.</w:t>
      </w:r>
    </w:p>
    <w:p>
      <w:pPr>
        <w:pStyle w:val="Heading2"/>
        <w:keepNext/>
        <w:spacing w:after="100" w:before="200"/>
      </w:pPr>
      <w:r>
        <w:t xml:space="preserve">Article 2. Founder's rights in the Vesting Shares</w:t>
      </w:r>
    </w:p>
    <w:p>
      <w:pPr>
        <w:tabs>
          <w:tab w:val="left" w:pos="624"/>
        </w:tabs>
        <w:spacing w:after="100" w:line="288"/>
        <w:ind w:left="624" w:hanging="624"/>
        <w:jc w:val="both"/>
      </w:pPr>
      <w:r>
        <w:t xml:space="preserve">2.1	</w:t>
      </w:r>
      <w:r>
        <w:t xml:space="preserve">The Founder is the lawful owner of all Vesting Shares and may vote and receive dividends on all of them, including Unvested Shares.</w:t>
      </w:r>
    </w:p>
    <w:p>
      <w:pPr>
        <w:tabs>
          <w:tab w:val="left" w:pos="624"/>
        </w:tabs>
        <w:spacing w:after="100" w:line="288"/>
        <w:ind w:left="624" w:hanging="624"/>
        <w:jc w:val="both"/>
      </w:pPr>
      <w:r>
        <w:t xml:space="preserve">2.2	</w:t>
      </w:r>
      <w:r>
        <w:t xml:space="preserve">The Founder's rights in Unvested Shares are subject to the restrictions in Articles 4 and 6.</w:t>
      </w:r>
    </w:p>
    <w:p>
      <w:pPr>
        <w:pBdr>
          <w:left w:val="single" w:color="D9692B" w:sz="12" w:space="8"/>
        </w:pBdr>
        <w:spacing w:after="140" w:line="276"/>
        <w:ind w:left="284"/>
        <w:jc w:val="both"/>
      </w:pPr>
      <w:r>
        <w:rPr>
          <w:b/>
          <w:bCs/>
          <w:i/>
          <w:iCs/>
          <w:color w:val="D9692B"/>
          <w:sz w:val="20"/>
          <w:szCs w:val="20"/>
        </w:rPr>
        <w:t xml:space="preserve">Note for founders: </w:t>
      </w:r>
      <w:r>
        <w:rPr>
          <w:i/>
          <w:iCs/>
          <w:color w:val="5B6577"/>
          <w:sz w:val="20"/>
          <w:szCs w:val="20"/>
        </w:rPr>
        <w:t xml:space="preserve">This differs from US-style vesting where shares are earned over time. The founder votes all shares, so control is not affected during vesting.</w:t>
      </w:r>
    </w:p>
    <w:p>
      <w:pPr>
        <w:pStyle w:val="Heading2"/>
        <w:keepNext/>
        <w:spacing w:after="100" w:before="200"/>
      </w:pPr>
      <w:r>
        <w:t xml:space="preserve">Article 3. Vesting schedule</w:t>
      </w:r>
    </w:p>
    <w:p>
      <w:pPr>
        <w:tabs>
          <w:tab w:val="left" w:pos="624"/>
        </w:tabs>
        <w:spacing w:after="100" w:line="288"/>
        <w:ind w:left="624" w:hanging="624"/>
        <w:jc w:val="both"/>
      </w:pPr>
      <w:r>
        <w:t xml:space="preserve">3.1	</w:t>
      </w:r>
      <w:r>
        <w:t xml:space="preserve">The Vesting Shares are released over </w:t>
      </w:r>
      <w:r>
        <w:rPr>
          <w:shd w:fill="FBE7DA" w:color="auto" w:val="clear"/>
        </w:rPr>
        <w:t xml:space="preserve">[48]</w:t>
      </w:r>
      <w:r>
        <w:t xml:space="preserve"> months from the Vesting Start Date as follows: (a) no shares are released before the </w:t>
      </w:r>
      <w:r>
        <w:rPr>
          <w:shd w:fill="FBE7DA" w:color="auto" w:val="clear"/>
        </w:rPr>
        <w:t xml:space="preserve">[12]</w:t>
      </w:r>
      <w:r>
        <w:t xml:space="preserve">-month anniversary (the "Cliff"); (b) on the </w:t>
      </w:r>
      <w:r>
        <w:rPr>
          <w:shd w:fill="FBE7DA" w:color="auto" w:val="clear"/>
        </w:rPr>
        <w:t xml:space="preserve">[12]</w:t>
      </w:r>
      <w:r>
        <w:t xml:space="preserve">-month anniversary, </w:t>
      </w:r>
      <w:r>
        <w:rPr>
          <w:shd w:fill="FBE7DA" w:color="auto" w:val="clear"/>
        </w:rPr>
        <w:t xml:space="preserve">[25]</w:t>
      </w:r>
      <w:r>
        <w:t xml:space="preserve">% of the Vesting Shares are released; (c) thereafter, a further </w:t>
      </w:r>
      <w:r>
        <w:rPr>
          <w:shd w:fill="FBE7DA" w:color="auto" w:val="clear"/>
        </w:rPr>
        <w:t xml:space="preserve">[1/48]</w:t>
      </w:r>
      <w:r>
        <w:t xml:space="preserve"> of the Vesting Shares is released each month until 100% is reached.</w:t>
      </w:r>
    </w:p>
    <w:p>
      <w:pPr>
        <w:tabs>
          <w:tab w:val="left" w:pos="624"/>
        </w:tabs>
        <w:spacing w:after="100" w:line="288"/>
        <w:ind w:left="624" w:hanging="624"/>
        <w:jc w:val="both"/>
      </w:pPr>
      <w:r>
        <w:t xml:space="preserve">3.2	</w:t>
      </w:r>
      <w:r>
        <w:t xml:space="preserve">Release occurs only if the Founder is still engaged with the Company on the release date. Share numbers are rounded down to whole shares; fractions are added to the final release.</w:t>
      </w:r>
    </w:p>
    <w:p>
      <w:pPr>
        <w:tabs>
          <w:tab w:val="left" w:pos="624"/>
        </w:tabs>
        <w:spacing w:after="100" w:line="288"/>
        <w:ind w:left="624" w:hanging="624"/>
        <w:jc w:val="both"/>
      </w:pPr>
      <w:r>
        <w:t xml:space="preserve">3.3	</w:t>
      </w:r>
      <w:r>
        <w:t xml:space="preserve">The detailed release schedule is set out in Appendix 1.</w:t>
      </w:r>
    </w:p>
    <w:p>
      <w:pPr>
        <w:pBdr>
          <w:left w:val="single" w:color="D9692B" w:sz="12" w:space="8"/>
        </w:pBdr>
        <w:spacing w:after="140" w:line="276"/>
        <w:ind w:left="284"/>
        <w:jc w:val="both"/>
      </w:pPr>
      <w:r>
        <w:rPr>
          <w:b/>
          <w:bCs/>
          <w:i/>
          <w:iCs/>
          <w:color w:val="D9692B"/>
          <w:sz w:val="20"/>
          <w:szCs w:val="20"/>
        </w:rPr>
        <w:t xml:space="preserve">Note for founders: </w:t>
      </w:r>
      <w:r>
        <w:rPr>
          <w:i/>
          <w:iCs/>
          <w:color w:val="5B6577"/>
          <w:sz w:val="20"/>
          <w:szCs w:val="20"/>
        </w:rPr>
        <w:t xml:space="preserve">If you have already worked for the company before signing, set the Vesting Start Date back to when you actually started. Investors usually accept a credit of 6 to 12 months.</w:t>
      </w:r>
    </w:p>
    <w:p>
      <w:pPr>
        <w:pStyle w:val="Heading2"/>
        <w:keepNext/>
        <w:spacing w:after="100" w:before="200"/>
      </w:pPr>
      <w:r>
        <w:t xml:space="preserve">Article 4. Buyback right when the Founder leaves</w:t>
      </w:r>
    </w:p>
    <w:p>
      <w:pPr>
        <w:tabs>
          <w:tab w:val="left" w:pos="624"/>
        </w:tabs>
        <w:spacing w:after="100" w:line="288"/>
        <w:ind w:left="624" w:hanging="624"/>
        <w:jc w:val="both"/>
      </w:pPr>
      <w:r>
        <w:t xml:space="preserve">4.1	</w:t>
      </w:r>
      <w:r>
        <w:t xml:space="preserve">From the Termination Date, Unvested Shares stop vesting. The following parties, in order, have the right but not the obligation to buy the Unvested Shares (the "Buyback Right"): (a) the Other Founders, pro rata among them, within </w:t>
      </w:r>
      <w:r>
        <w:rPr>
          <w:shd w:fill="FBE7DA" w:color="auto" w:val="clear"/>
        </w:rPr>
        <w:t xml:space="preserve">[30]</w:t>
      </w:r>
      <w:r>
        <w:t xml:space="preserve"> days; (b) for any remainder, a person designated by the Board of Directors, within the following </w:t>
      </w:r>
      <w:r>
        <w:rPr>
          <w:shd w:fill="FBE7DA" w:color="auto" w:val="clear"/>
        </w:rPr>
        <w:t xml:space="preserve">[30]</w:t>
      </w:r>
      <w:r>
        <w:t xml:space="preserve"> days; (c) for any remainder, the Company, to the extent permitted by law, within the following </w:t>
      </w:r>
      <w:r>
        <w:rPr>
          <w:shd w:fill="FBE7DA" w:color="auto" w:val="clear"/>
        </w:rPr>
        <w:t xml:space="preserve">[30]</w:t>
      </w:r>
      <w:r>
        <w:t xml:space="preserve"> days.</w:t>
      </w:r>
    </w:p>
    <w:p>
      <w:pPr>
        <w:tabs>
          <w:tab w:val="left" w:pos="624"/>
        </w:tabs>
        <w:spacing w:after="100" w:line="288"/>
        <w:ind w:left="624" w:hanging="624"/>
        <w:jc w:val="both"/>
      </w:pPr>
      <w:r>
        <w:t xml:space="preserve">4.2	</w:t>
      </w:r>
      <w:r>
        <w:t xml:space="preserve">The buyback price for Unvested Shares equals </w:t>
      </w:r>
      <w:r>
        <w:rPr>
          <w:shd w:fill="FBE7DA" w:color="auto" w:val="clear"/>
        </w:rPr>
        <w:t xml:space="preserve">[the amount the Founder actually paid for those shares / par value]</w:t>
      </w:r>
      <w:r>
        <w:t xml:space="preserve">, for both Good Leavers and Bad Leavers.</w:t>
      </w:r>
    </w:p>
    <w:p>
      <w:pPr>
        <w:tabs>
          <w:tab w:val="left" w:pos="624"/>
        </w:tabs>
        <w:spacing w:after="100" w:line="288"/>
        <w:ind w:left="624" w:hanging="624"/>
        <w:jc w:val="both"/>
      </w:pPr>
      <w:r>
        <w:t xml:space="preserve">4.3	</w:t>
      </w:r>
      <w:r>
        <w:t xml:space="preserve">For a Bad Leaver, the parties in clause 4.1 may also buy the Vested Shares at </w:t>
      </w:r>
      <w:r>
        <w:rPr>
          <w:shd w:fill="FBE7DA" w:color="auto" w:val="clear"/>
        </w:rPr>
        <w:t xml:space="preserve">[par value / [50]</w:t>
      </w:r>
      <w:r>
        <w:t xml:space="preserve">% of fair value determined by an independent valuer]. A Good Leaver keeps all Vested Shares.</w:t>
      </w:r>
    </w:p>
    <w:p>
      <w:pPr>
        <w:tabs>
          <w:tab w:val="left" w:pos="624"/>
        </w:tabs>
        <w:spacing w:after="100" w:line="288"/>
        <w:ind w:left="624" w:hanging="624"/>
        <w:jc w:val="both"/>
      </w:pPr>
      <w:r>
        <w:t xml:space="preserve">4.4	</w:t>
      </w:r>
      <w:r>
        <w:t xml:space="preserve">The party exercising the Buyback Right gives written notice to the Founder. Within </w:t>
      </w:r>
      <w:r>
        <w:rPr>
          <w:shd w:fill="FBE7DA" w:color="auto" w:val="clear"/>
        </w:rPr>
        <w:t xml:space="preserve">[15]</w:t>
      </w:r>
      <w:r>
        <w:t xml:space="preserve"> days of receipt, the Founder signs the transfer agreement and all required documents, and the buyer pays the buyback price. If the Founder does not sign, the Founder agrees that </w:t>
      </w:r>
      <w:r>
        <w:rPr>
          <w:shd w:fill="FBE7DA" w:color="auto" w:val="clear"/>
        </w:rPr>
        <w:t xml:space="preserve">[the Chairperson of the Board]</w:t>
      </w:r>
      <w:r>
        <w:t xml:space="preserve"> is authorised to sign on the Founder's behalf under the Power of Attorney in Appendix 3, and the price is held for the Founder.</w:t>
      </w:r>
    </w:p>
    <w:p>
      <w:pPr>
        <w:pBdr>
          <w:left w:val="single" w:color="D9692B" w:sz="12" w:space="8"/>
        </w:pBdr>
        <w:spacing w:after="140" w:line="276"/>
        <w:ind w:left="284"/>
        <w:jc w:val="both"/>
      </w:pPr>
      <w:r>
        <w:rPr>
          <w:b/>
          <w:bCs/>
          <w:i/>
          <w:iCs/>
          <w:color w:val="D9692B"/>
          <w:sz w:val="20"/>
          <w:szCs w:val="20"/>
        </w:rPr>
        <w:t xml:space="preserve">Note for founders: </w:t>
      </w:r>
      <w:r>
        <w:rPr>
          <w:i/>
          <w:iCs/>
          <w:color w:val="5B6577"/>
          <w:sz w:val="20"/>
          <w:szCs w:val="20"/>
        </w:rPr>
        <w:t xml:space="preserve">Putting founders first in the buyer order avoids the limits on a company buying its own shares. The Power of Attorney in Appendix 3 lets the buyback happen even if the leaving founder does not cooperate; ask a lawyer how enforceable it is in your case.</w:t>
      </w:r>
    </w:p>
    <w:p>
      <w:pPr>
        <w:pStyle w:val="Heading2"/>
        <w:keepNext/>
        <w:spacing w:after="100" w:before="200"/>
      </w:pPr>
      <w:r>
        <w:t xml:space="preserve">Article 5. Acceleration on a sale</w:t>
      </w:r>
    </w:p>
    <w:p>
      <w:pPr>
        <w:tabs>
          <w:tab w:val="left" w:pos="624"/>
        </w:tabs>
        <w:spacing w:after="100" w:line="288"/>
        <w:ind w:left="624" w:hanging="624"/>
        <w:jc w:val="both"/>
      </w:pPr>
      <w:r>
        <w:t xml:space="preserve">5.1	</w:t>
      </w:r>
      <w:r>
        <w:t xml:space="preserve">If a Sale Event occurs and within </w:t>
      </w:r>
      <w:r>
        <w:rPr>
          <w:shd w:fill="FBE7DA" w:color="auto" w:val="clear"/>
        </w:rPr>
        <w:t xml:space="preserve">[12]</w:t>
      </w:r>
      <w:r>
        <w:t xml:space="preserve"> months afterwards the Founder's engagement is terminated other than for Cause, or the Founder resigns because of a material reduction in role or pay or a required relocation of more than </w:t>
      </w:r>
      <w:r>
        <w:rPr>
          <w:shd w:fill="FBE7DA" w:color="auto" w:val="clear"/>
        </w:rPr>
        <w:t xml:space="preserve">[50]</w:t>
      </w:r>
      <w:r>
        <w:t xml:space="preserve"> km, then </w:t>
      </w:r>
      <w:r>
        <w:rPr>
          <w:shd w:fill="FBE7DA" w:color="auto" w:val="clear"/>
        </w:rPr>
        <w:t xml:space="preserve">[100]</w:t>
      </w:r>
      <w:r>
        <w:t xml:space="preserve">% of the Unvested Shares are released on the Termination Date.</w:t>
      </w:r>
    </w:p>
    <w:p>
      <w:pPr>
        <w:pBdr>
          <w:left w:val="single" w:color="D9692B" w:sz="12" w:space="8"/>
        </w:pBdr>
        <w:spacing w:after="140" w:line="276"/>
        <w:ind w:left="284"/>
        <w:jc w:val="both"/>
      </w:pPr>
      <w:r>
        <w:rPr>
          <w:b/>
          <w:bCs/>
          <w:i/>
          <w:iCs/>
          <w:color w:val="D9692B"/>
          <w:sz w:val="20"/>
          <w:szCs w:val="20"/>
        </w:rPr>
        <w:t xml:space="preserve">Note for founders: </w:t>
      </w:r>
      <w:r>
        <w:rPr>
          <w:i/>
          <w:iCs/>
          <w:color w:val="5B6577"/>
          <w:sz w:val="20"/>
          <w:szCs w:val="20"/>
        </w:rPr>
        <w:t xml:space="preserve">This is "double trigger" acceleration: it needs both a sale and loss of position. Investors and acquirers accept it far more readily than single trigger.</w:t>
      </w:r>
    </w:p>
    <w:p>
      <w:pPr>
        <w:pStyle w:val="Heading2"/>
        <w:keepNext/>
        <w:spacing w:after="100" w:before="200"/>
      </w:pPr>
      <w:r>
        <w:t xml:space="preserve">Article 6. Transfer restrictions</w:t>
      </w:r>
    </w:p>
    <w:p>
      <w:pPr>
        <w:tabs>
          <w:tab w:val="left" w:pos="624"/>
        </w:tabs>
        <w:spacing w:after="100" w:line="288"/>
        <w:ind w:left="624" w:hanging="624"/>
        <w:jc w:val="both"/>
      </w:pPr>
      <w:r>
        <w:t xml:space="preserve">6.1	</w:t>
      </w:r>
      <w:r>
        <w:t xml:space="preserve">The Founder may not transfer, gift, pledge, mortgage or create any third-party right over Unvested Shares, except a transfer under Article 4.</w:t>
      </w:r>
    </w:p>
    <w:p>
      <w:pPr>
        <w:tabs>
          <w:tab w:val="left" w:pos="624"/>
        </w:tabs>
        <w:spacing w:after="100" w:line="288"/>
        <w:ind w:left="624" w:hanging="624"/>
        <w:jc w:val="both"/>
      </w:pPr>
      <w:r>
        <w:t xml:space="preserve">6.2	</w:t>
      </w:r>
      <w:r>
        <w:t xml:space="preserve">Transfers of Vested Shares are subject to the Charter, the shareholders agreement and Article 120 of the Law on Enterprises 2020.</w:t>
      </w:r>
    </w:p>
    <w:p>
      <w:pPr>
        <w:tabs>
          <w:tab w:val="left" w:pos="624"/>
        </w:tabs>
        <w:spacing w:after="100" w:line="288"/>
        <w:ind w:left="624" w:hanging="624"/>
        <w:jc w:val="both"/>
      </w:pPr>
      <w:r>
        <w:t xml:space="preserve">6.3	</w:t>
      </w:r>
      <w:r>
        <w:t xml:space="preserve">Any transferee or heir of Vesting Shares must undertake in writing to be bound by this Agreement as the Founder.</w:t>
      </w:r>
    </w:p>
    <w:p>
      <w:pPr>
        <w:pStyle w:val="Heading2"/>
        <w:keepNext/>
        <w:spacing w:after="100" w:before="200"/>
      </w:pPr>
      <w:r>
        <w:t xml:space="preserve">Article 7. Other Founder undertakings</w:t>
      </w:r>
    </w:p>
    <w:p>
      <w:pPr>
        <w:tabs>
          <w:tab w:val="left" w:pos="624"/>
        </w:tabs>
        <w:spacing w:after="100" w:line="288"/>
        <w:ind w:left="624" w:hanging="624"/>
        <w:jc w:val="both"/>
      </w:pPr>
      <w:r>
        <w:t xml:space="preserve">7.1	</w:t>
      </w:r>
      <w:r>
        <w:t xml:space="preserve">The Founder works full time for the Company and does not at the same time manage, hold a controlling stake in or work for a competing business, unless approved in writing by the Board of Directors.</w:t>
      </w:r>
    </w:p>
    <w:p>
      <w:pPr>
        <w:tabs>
          <w:tab w:val="left" w:pos="624"/>
        </w:tabs>
        <w:spacing w:after="100" w:line="288"/>
        <w:ind w:left="624" w:hanging="624"/>
        <w:jc w:val="both"/>
      </w:pPr>
      <w:r>
        <w:t xml:space="preserve">7.2	</w:t>
      </w:r>
      <w:r>
        <w:t xml:space="preserve">The Founder has signed, or will sign within </w:t>
      </w:r>
      <w:r>
        <w:rPr>
          <w:shd w:fill="FBE7DA" w:color="auto" w:val="clear"/>
        </w:rPr>
        <w:t xml:space="preserve">[30]</w:t>
      </w:r>
      <w:r>
        <w:t xml:space="preserve"> days, an agreement assigning to the Company all intellectual property related to the Company's business.</w:t>
      </w:r>
    </w:p>
    <w:p>
      <w:pPr>
        <w:pStyle w:val="Heading2"/>
        <w:keepNext/>
        <w:spacing w:after="100" w:before="200"/>
      </w:pPr>
      <w:r>
        <w:t xml:space="preserve">Article 8. Taxes and costs</w:t>
      </w:r>
    </w:p>
    <w:p>
      <w:pPr>
        <w:spacing w:after="120" w:line="288"/>
        <w:jc w:val="both"/>
      </w:pPr>
      <w:r>
        <w:t xml:space="preserve">Each party bears its own taxes and costs arising from transactions under this Agreement. The Company assists with updating the shareholder register and any notifications to authorities.</w:t>
      </w:r>
    </w:p>
    <w:p>
      <w:pPr>
        <w:pStyle w:val="Heading2"/>
        <w:keepNext/>
        <w:spacing w:after="100" w:before="200"/>
      </w:pPr>
      <w:r>
        <w:t xml:space="preserve">Article 9. Term and amendment</w:t>
      </w:r>
    </w:p>
    <w:p>
      <w:pPr>
        <w:tabs>
          <w:tab w:val="left" w:pos="624"/>
        </w:tabs>
        <w:spacing w:after="100" w:line="288"/>
        <w:ind w:left="624" w:hanging="624"/>
        <w:jc w:val="both"/>
      </w:pPr>
      <w:r>
        <w:t xml:space="preserve">9.1	</w:t>
      </w:r>
      <w:r>
        <w:t xml:space="preserve">This Agreement takes effect on signing and ends when all Vesting Shares have been released or bought back under Article 4.</w:t>
      </w:r>
    </w:p>
    <w:p>
      <w:pPr>
        <w:tabs>
          <w:tab w:val="left" w:pos="624"/>
        </w:tabs>
        <w:spacing w:after="100" w:line="288"/>
        <w:ind w:left="624" w:hanging="624"/>
        <w:jc w:val="both"/>
      </w:pPr>
      <w:r>
        <w:t xml:space="preserve">9.2	</w:t>
      </w:r>
      <w:r>
        <w:t xml:space="preserve">Any amendment must be in writing, signed by the parties and </w:t>
      </w:r>
      <w:r>
        <w:rPr>
          <w:shd w:fill="FBE7DA" w:color="auto" w:val="clear"/>
        </w:rPr>
        <w:t xml:space="preserve">[approved by the preferred shareholders if the shareholders agreement so requires]</w:t>
      </w:r>
      <w:r>
        <w:t xml:space="preserve">.</w:t>
      </w:r>
    </w:p>
    <w:p>
      <w:pPr>
        <w:tabs>
          <w:tab w:val="left" w:pos="624"/>
        </w:tabs>
        <w:spacing w:after="100" w:line="288"/>
        <w:ind w:left="624" w:hanging="624"/>
        <w:jc w:val="both"/>
      </w:pPr>
      <w:r>
        <w:t xml:space="preserve">9.3	</w:t>
      </w:r>
      <w:r>
        <w:t xml:space="preserve">If this Agreement conflicts with the Charter or the shareholders agreement, the parties will cooperate to amend the relevant document to achieve the purpose of this Agreement.</w:t>
      </w:r>
    </w:p>
    <w:p>
      <w:pPr>
        <w:pStyle w:val="Heading2"/>
        <w:keepNext/>
        <w:spacing w:after="100" w:before="200"/>
      </w:pPr>
      <w:r>
        <w:t xml:space="preserve">Article 10. Governing law and disputes</w:t>
      </w:r>
    </w:p>
    <w:p>
      <w:pPr>
        <w:spacing w:after="120" w:line="288"/>
        <w:jc w:val="both"/>
      </w:pPr>
      <w:r>
        <w:t xml:space="preserve">This Agreement is governed by the laws of Vietnam. Disputes are first negotiated for </w:t>
      </w:r>
      <w:r>
        <w:rPr>
          <w:shd w:fill="FBE7DA" w:color="auto" w:val="clear"/>
        </w:rPr>
        <w:t xml:space="preserve">[30]</w:t>
      </w:r>
      <w:r>
        <w:t xml:space="preserve"> days; failing settlement, they are resolved by </w:t>
      </w:r>
      <w:r>
        <w:rPr>
          <w:shd w:fill="FBE7DA" w:color="auto" w:val="clear"/>
        </w:rPr>
        <w:t xml:space="preserve">[the Vietnam International Arbitration Centre (VIAC) under its Rules of Arbitration / a competent People's Court]</w:t>
      </w:r>
      <w:r>
        <w:t xml:space="preserve">.</w:t>
      </w:r>
    </w:p>
    <w:p>
      <w:pPr>
        <w:spacing w:after="120" w:line="288"/>
        <w:jc w:val="both"/>
      </w:pPr>
      <w:r>
        <w:t xml:space="preserve">This Agreement is made in </w:t>
      </w:r>
      <w:r>
        <w:rPr>
          <w:shd w:fill="FBE7DA" w:color="auto" w:val="clear"/>
        </w:rPr>
        <w:t xml:space="preserve">[●]</w:t>
      </w:r>
      <w:r>
        <w:t xml:space="preserve"> counterparts of equal validity; each party keeps </w:t>
      </w:r>
      <w:r>
        <w:rPr>
          <w:shd w:fill="FBE7DA" w:color="auto" w:val="clear"/>
        </w:rPr>
        <w:t xml:space="preserve">[one]</w:t>
      </w:r>
      <w:r>
        <w:t xml:space="preserve">, and the Company keeps </w:t>
      </w:r>
      <w:r>
        <w:rPr>
          <w:shd w:fill="FBE7DA" w:color="auto" w:val="clear"/>
        </w:rPr>
        <w:t xml:space="preserve">[one]</w:t>
      </w:r>
      <w:r>
        <w:t xml:space="preserv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THE COMPANY</w:t>
            </w:r>
          </w:p>
          <w:p>
            <w:pPr>
              <w:spacing w:after="1100"/>
              <w:jc w:val="center"/>
            </w:pPr>
            <w:r>
              <w:rPr>
                <w:i/>
                <w:iCs/>
                <w:color w:val="5B6577"/>
                <w:sz w:val="20"/>
                <w:szCs w:val="20"/>
              </w:rPr>
              <w:t xml:space="preserve">(Signature, full name, seal)</w:t>
            </w:r>
          </w:p>
          <w:p>
            <w:pPr>
              <w:spacing w:after="240"/>
              <w:jc w:val="center"/>
            </w:pPr>
            <w:r>
              <w:rPr>
                <w:shd w:fill="FBE7DA" w:color="auto" w:val="clear"/>
              </w:rPr>
              <w:t xml:space="preserve">[Representative name]</w:t>
            </w:r>
          </w:p>
        </w:tc>
        <w:tc>
          <w:tcPr>
            <w:tcW w:type="dxa" w:w="4819"/>
            <w:tcMar>
              <w:top w:type="dxa" w:w="80"/>
              <w:left w:type="dxa" w:w="120"/>
              <w:bottom w:type="dxa" w:w="80"/>
              <w:right w:type="dxa" w:w="120"/>
            </w:tcMar>
          </w:tcPr>
          <w:p>
            <w:pPr>
              <w:spacing w:after="40"/>
              <w:jc w:val="center"/>
            </w:pPr>
            <w:r>
              <w:rPr>
                <w:b/>
                <w:bCs/>
              </w:rPr>
              <w:t xml:space="preserve">THE FOUNDER</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r>
      <w:tr>
        <w:trPr>
          <w:cantSplit/>
        </w:trPr>
        <w:tc>
          <w:tcPr>
            <w:tcW w:type="dxa" w:w="4819"/>
            <w:tcMar>
              <w:top w:type="dxa" w:w="80"/>
              <w:left w:type="dxa" w:w="120"/>
              <w:bottom w:type="dxa" w:w="80"/>
              <w:right w:type="dxa" w:w="120"/>
            </w:tcMar>
          </w:tcPr>
          <w:p>
            <w:pPr>
              <w:spacing w:after="40"/>
              <w:jc w:val="center"/>
            </w:pPr>
            <w:r>
              <w:rPr>
                <w:b/>
                <w:bCs/>
              </w:rPr>
              <w:t xml:space="preserve">THE OTHER FOUNDERS</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c>
          <w:tcPr>
            <w:tcW w:type="dxa" w:w="4819"/>
            <w:tcMar>
              <w:top w:type="dxa" w:w="80"/>
              <w:left w:type="dxa" w:w="120"/>
              <w:bottom w:type="dxa" w:w="80"/>
              <w:right w:type="dxa" w:w="120"/>
            </w:tcMar>
          </w:tcPr>
          <w:p>
            <w:r>
              <w:t xml:space="preserve"/>
            </w:r>
          </w:p>
        </w:tc>
      </w:tr>
    </w:tbl>
    <w:p>
      <w:r>
        <w:br w:type="page"/>
      </w:r>
    </w:p>
    <w:p>
      <w:pPr>
        <w:pStyle w:val="Heading1"/>
        <w:keepNext/>
        <w:spacing w:after="120" w:before="280"/>
      </w:pPr>
      <w:r>
        <w:t xml:space="preserve">Appendix 1. Release schedule</w:t>
      </w:r>
    </w:p>
    <w:p>
      <w:pPr>
        <w:spacing w:after="120" w:line="288"/>
        <w:jc w:val="both"/>
      </w:pPr>
      <w:r>
        <w:t xml:space="preserve">Applies to </w:t>
      </w:r>
      <w:r>
        <w:rPr>
          <w:shd w:fill="FBE7DA" w:color="auto" w:val="clear"/>
        </w:rPr>
        <w:t xml:space="preserve">[●]</w:t>
      </w:r>
      <w:r>
        <w:t xml:space="preserve"> Vesting Shares, Vesting Start Date </w:t>
      </w:r>
      <w:r>
        <w:rPr>
          <w:shd w:fill="FBE7DA" w:color="auto" w:val="clear"/>
        </w:rPr>
        <w:t xml:space="preserve">[●]</w:t>
      </w:r>
      <w:r>
        <w:t xml:space="preserve">. The example below uses 120,000 shares; replace with your numbers.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1700"/>
        <w:gridCol w:w="1900"/>
        <w:gridCol w:w="2000"/>
        <w:gridCol w:w="2100"/>
        <w:gridCol w:w="1938"/>
      </w:tblGrid>
      <w:tr>
        <w:trPr>
          <w:tblHeader/>
        </w:trPr>
        <w:tc>
          <w:tcPr>
            <w:tcW w:type="dxa" w:w="17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Milestone</w:t>
            </w:r>
          </w:p>
        </w:tc>
        <w:tc>
          <w:tcPr>
            <w:tcW w:type="dxa" w:w="19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Date</w:t>
            </w:r>
          </w:p>
        </w:tc>
        <w:tc>
          <w:tcPr>
            <w:tcW w:type="dxa" w:w="20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Released in period</w:t>
            </w:r>
          </w:p>
        </w:tc>
        <w:tc>
          <w:tcPr>
            <w:tcW w:type="dxa" w:w="21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Cumulative vested</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Cumulative %</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12 (cliff)</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25%</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Months 13 to 23</w:t>
            </w:r>
          </w:p>
        </w:tc>
        <w:tc>
          <w:tcPr>
            <w:tcW w:type="dxa" w:w="1900"/>
            <w:tcMar>
              <w:top w:type="dxa" w:w="80"/>
              <w:left w:type="dxa" w:w="120"/>
              <w:bottom w:type="dxa" w:w="80"/>
              <w:right w:type="dxa" w:w="120"/>
            </w:tcMar>
          </w:tcPr>
          <w:p>
            <w:pPr>
              <w:spacing w:after="40" w:line="264"/>
              <w:jc w:val="left"/>
            </w:pPr>
            <w:r>
              <w:rPr>
                <w:b w:val="false"/>
                <w:bCs w:val="false"/>
                <w:sz w:val="20"/>
                <w:szCs w:val="20"/>
              </w:rPr>
              <w:t xml:space="preserve">monthly</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32,500 to 57,500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27.1% to 47.9%</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24</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60,000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50%</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36</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90,000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75%</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Month 48</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100%</w:t>
            </w:r>
          </w:p>
        </w:tc>
      </w:tr>
    </w:tbl>
    <w:p>
      <w:pPr>
        <w:spacing w:after="120"/>
      </w:pPr>
    </w:p>
    <w:p>
      <w:pPr>
        <w:pStyle w:val="Heading1"/>
        <w:keepNext/>
        <w:spacing w:after="120" w:before="280"/>
      </w:pPr>
      <w:r>
        <w:t xml:space="preserve">Appendix 2. Other Founders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3200"/>
        <w:gridCol w:w="2400"/>
        <w:gridCol w:w="2100"/>
        <w:gridCol w:w="1938"/>
      </w:tblGrid>
      <w:tr>
        <w:trPr>
          <w:tblHeader/>
        </w:trPr>
        <w:tc>
          <w:tcPr>
            <w:tcW w:type="dxa" w:w="3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Name</w:t>
            </w:r>
          </w:p>
        </w:tc>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Citizen ID</w:t>
            </w:r>
          </w:p>
        </w:tc>
        <w:tc>
          <w:tcPr>
            <w:tcW w:type="dxa" w:w="21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Shares</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w:t>
            </w:r>
          </w:p>
        </w:tc>
      </w:tr>
      <w:tr>
        <w:trPr>
          <w:cantSplit/>
        </w:trPr>
        <w:tc>
          <w:tcPr>
            <w:tcW w:type="dxa" w:w="3200"/>
            <w:shd w:fill="EEF1F6" w:color="auto" w:val="clear"/>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4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1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3200"/>
            <w:shd w:fill="EEF1F6" w:color="auto" w:val="clear"/>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4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1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bl>
    <w:p>
      <w:pPr>
        <w:spacing w:after="120"/>
      </w:pPr>
    </w:p>
    <w:p>
      <w:pPr>
        <w:pStyle w:val="Heading1"/>
        <w:keepNext/>
        <w:spacing w:after="120" w:before="280"/>
      </w:pPr>
      <w:r>
        <w:t xml:space="preserve">Appendix 3. Power of Attorney to sign transfer documents</w:t>
      </w:r>
    </w:p>
    <w:p>
      <w:pPr>
        <w:spacing w:after="120" w:line="288"/>
        <w:jc w:val="both"/>
      </w:pPr>
      <w:r>
        <w:t xml:space="preserve">I, </w:t>
      </w:r>
      <w:r>
        <w:rPr>
          <w:shd w:fill="FBE7DA" w:color="auto" w:val="clear"/>
        </w:rPr>
        <w:t xml:space="preserve">[Founder name]</w:t>
      </w:r>
      <w:r>
        <w:t xml:space="preserve">, citizen ID no. </w:t>
      </w:r>
      <w:r>
        <w:rPr>
          <w:shd w:fill="FBE7DA" w:color="auto" w:val="clear"/>
        </w:rPr>
        <w:t xml:space="preserve">[●]</w:t>
      </w:r>
      <w:r>
        <w:t xml:space="preserve">, authorise </w:t>
      </w:r>
      <w:r>
        <w:rPr>
          <w:shd w:fill="FBE7DA" w:color="auto" w:val="clear"/>
        </w:rPr>
        <w:t xml:space="preserve">[title and name of attorney]</w:t>
      </w:r>
      <w:r>
        <w:t xml:space="preserve"> to sign on my behalf the transfer agreement and documents required to transfer shares in the cases set out in Article 4 of Share Vesting Agreement no. </w:t>
      </w:r>
      <w:r>
        <w:rPr>
          <w:shd w:fill="FBE7DA" w:color="auto" w:val="clear"/>
        </w:rPr>
        <w:t xml:space="preserve">[●]</w:t>
      </w:r>
      <w:r>
        <w:t xml:space="preserve">. This authorisation is effective until that Agreement ends and is irrevocable during that period.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GRANTOR</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c>
          <w:tcPr>
            <w:tcW w:type="dxa" w:w="4819"/>
            <w:tcMar>
              <w:top w:type="dxa" w:w="80"/>
              <w:left w:type="dxa" w:w="120"/>
              <w:bottom w:type="dxa" w:w="80"/>
              <w:right w:type="dxa" w:w="120"/>
            </w:tcMar>
          </w:tcPr>
          <w:p>
            <w:pPr>
              <w:spacing w:after="40"/>
              <w:jc w:val="center"/>
            </w:pPr>
            <w:r>
              <w:rPr>
                <w:b/>
                <w:bCs/>
              </w:rPr>
              <w:t xml:space="preserve">ATTORNEY</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r>
    </w:tbl>
    <w:p>
      <w:pPr>
        <w:pBdr>
          <w:left w:val="single" w:color="D9692B" w:sz="12" w:space="8"/>
        </w:pBdr>
        <w:spacing w:after="140" w:line="276"/>
        <w:ind w:left="284"/>
        <w:jc w:val="both"/>
      </w:pPr>
      <w:r>
        <w:rPr>
          <w:b/>
          <w:bCs/>
          <w:i/>
          <w:iCs/>
          <w:color w:val="D9692B"/>
          <w:sz w:val="20"/>
          <w:szCs w:val="20"/>
        </w:rPr>
        <w:t xml:space="preserve">Note for founders: </w:t>
      </w:r>
      <w:r>
        <w:rPr>
          <w:i/>
          <w:iCs/>
          <w:color w:val="5B6577"/>
          <w:sz w:val="20"/>
          <w:szCs w:val="20"/>
        </w:rPr>
        <w:t xml:space="preserve">In some cases a power of attorney must be notarised or certified to be accepted for administrative procedures. Check with a lawyer before signing.</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7"/>
        <w:sz w:val="16"/>
        <w:szCs w:val="16"/>
      </w:rPr>
      <w:t xml:space="preserve">Founder share vesting agreement template, fundraising.vn, version 1.0 (10/2026)   |   </w:t>
    </w:r>
    <w:r>
      <w:rPr>
        <w:color w:val="5B6577"/>
        <w:sz w:val="16"/>
        <w:szCs w:val="16"/>
      </w:rPr>
      <w:fldChar w:fldCharType="begin"/>
      <w:instrText xml:space="preserve">PAGE</w:instrText>
      <w:fldChar w:fldCharType="separate"/>
      <w:fldChar w:fldCharType="end"/>
    </w:r>
    <w:r>
      <w:rPr>
        <w:color w:val="5B6577"/>
        <w:sz w:val="16"/>
        <w:szCs w:val="16"/>
      </w:rPr>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C2B4A"/>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color w:val="1C2B4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share vesting agreement template, fundraising.vn, version 1.0 (10/2026)</dc:title>
  <dc:creator>fundraising.vn</dc:creator>
  <cp:lastModifiedBy>Un-named</cp:lastModifiedBy>
  <cp:revision>1</cp:revision>
  <dcterms:created xsi:type="dcterms:W3CDTF">2026-10-19T09:23:42.464Z</dcterms:created>
  <dcterms:modified xsi:type="dcterms:W3CDTF">2026-10-19T09:23:42.464Z</dcterms:modified>
</cp:coreProperties>
</file>

<file path=docProps/custom.xml><?xml version="1.0" encoding="utf-8"?>
<Properties xmlns="http://schemas.openxmlformats.org/officeDocument/2006/custom-properties" xmlns:vt="http://schemas.openxmlformats.org/officeDocument/2006/docPropsVTypes"/>
</file>