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9692B"/>
          <w:spacing w:val="20"/>
          <w:sz w:val="18"/>
          <w:szCs w:val="18"/>
        </w:rPr>
        <w:t xml:space="preserve">MẪU THAM KHẢO CỦA FUNDRAISING.VN</w:t>
      </w:r>
    </w:p>
    <w:p>
      <w:pPr>
        <w:spacing w:after="80"/>
        <w:jc w:val="center"/>
      </w:pPr>
      <w:r>
        <w:rPr>
          <w:b/>
          <w:bCs/>
          <w:color w:val="1C2B4A"/>
          <w:sz w:val="32"/>
          <w:szCs w:val="32"/>
        </w:rPr>
        <w:t xml:space="preserve">MẪU TERM SHEET VÒNG PRE-SEED VÀ SEED</w:t>
      </w:r>
    </w:p>
    <w:p>
      <w:pPr>
        <w:spacing w:after="240"/>
        <w:jc w:val="center"/>
      </w:pPr>
      <w:r>
        <w:rPr>
          <w:color w:val="5B6577"/>
          <w:sz w:val="22"/>
          <w:szCs w:val="22"/>
        </w:rPr>
        <w:t xml:space="preserve">Đầu tư vào công ty cổ phần tại Việt Nam bằng cổ phần ưu đãi, điều khoản cân bằng theo thông lệ thị trường</w:t>
      </w:r>
    </w:p>
    <w:tbl>
      <w:tblPr>
        <w:tblW w:type="dxa" w:w="9638"/>
        <w:tblBorders>
          <w:top w:val="single" w:color="D9692B" w:sz="12"/>
          <w:left w:val="single" w:color="C9CFDA" w:sz="4"/>
          <w:bottom w:val="single" w:color="C9CFDA" w:sz="4"/>
          <w:right w:val="single" w:color="C9CFDA" w:sz="4"/>
          <w:insideH w:val="single" w:color="auto" w:sz="4"/>
          <w:insideV w:val="single" w:color="auto" w:sz="4"/>
        </w:tblBorders>
      </w:tblPr>
      <w:tblGrid>
        <w:gridCol w:w="9638"/>
      </w:tblGrid>
      <w:tr>
        <w:tc>
          <w:tcPr>
            <w:tcW w:type="dxa" w:w="9638"/>
            <w:shd w:fill="FFF8F3" w:color="auto" w:val="clear"/>
            <w:tcMar>
              <w:top w:type="dxa" w:w="80"/>
              <w:left w:type="dxa" w:w="120"/>
              <w:bottom w:type="dxa" w:w="80"/>
              <w:right w:type="dxa" w:w="120"/>
            </w:tcMar>
          </w:tcPr>
          <w:p>
            <w:pPr>
              <w:spacing w:after="60" w:line="264"/>
            </w:pPr>
            <w:r>
              <w:rPr>
                <w:b/>
                <w:bCs/>
                <w:sz w:val="20"/>
                <w:szCs w:val="20"/>
              </w:rPr>
              <w:t xml:space="preserve">Đọc trước khi dùng</w:t>
            </w:r>
          </w:p>
          <w:p>
            <w:pPr>
              <w:spacing w:after="60" w:line="264"/>
            </w:pPr>
            <w:r>
              <w:rPr>
                <w:b w:val="false"/>
                <w:bCs w:val="false"/>
                <w:sz w:val="20"/>
                <w:szCs w:val="20"/>
              </w:rPr>
              <w:t xml:space="preserve">Term sheet là bản tóm tắt các điều kiện chính của khoản đầu tư, ký trước khi các bên soạn hợp đồng mua cổ phần, thoả thuận cổ đông và sửa điều lệ. Hầu hết nội dung không ràng buộc pháp lý, nhưng gần như mọi con số trong đó sẽ đi thẳng vào hợp đồng chính thức.</w:t>
            </w:r>
          </w:p>
          <w:p>
            <w:pPr>
              <w:spacing w:after="60" w:line="264"/>
            </w:pPr>
            <w:r>
              <w:rPr>
                <w:b w:val="false"/>
                <w:bCs w:val="false"/>
                <w:sz w:val="20"/>
                <w:szCs w:val="20"/>
              </w:rPr>
              <w:t xml:space="preserve">Mẫu này viết theo hướng cân bằng, gần với các bộ mẫu chuẩn quốc tế cho vòng sớm, có điều chỉnh cho công ty cổ phần Việt Nam. Ô nền cam là chỗ cần điền hoặc chọn; dòng "Ghi chú" giải thích lựa chọn, xoá đi trước khi gửi.</w:t>
            </w:r>
          </w:p>
          <w:p>
            <w:pPr>
              <w:spacing w:after="60" w:line="264"/>
            </w:pPr>
            <w:r>
              <w:rPr>
                <w:b w:val="false"/>
                <w:bCs w:val="false"/>
                <w:sz w:val="20"/>
                <w:szCs w:val="20"/>
              </w:rPr>
              <w:t xml:space="preserve">Mẫu không phải ý kiến tư vấn pháp lý. Không phải điều khoản nào cũng ghi được nguyên văn vào điều lệ công ty cổ phần Việt Nam; làm việc với luật sư có kinh nghiệm đầu tư mạo hiểm trước khi ký.</w:t>
            </w:r>
          </w:p>
        </w:tc>
      </w:tr>
    </w:tbl>
    <w:p>
      <w:pPr>
        <w:spacing w:after="160"/>
      </w:pPr>
    </w:p>
    <w:p>
      <w:pPr>
        <w:pStyle w:val="Heading1"/>
        <w:keepNext/>
        <w:spacing w:after="120" w:before="280"/>
      </w:pPr>
      <w:r>
        <w:t xml:space="preserve">Phần A. Hướng dẫn dùng mẫu</w:t>
      </w:r>
    </w:p>
    <w:p>
      <w:pPr>
        <w:pStyle w:val="Heading2"/>
        <w:keepNext/>
        <w:spacing w:after="100" w:before="200"/>
      </w:pPr>
      <w:r>
        <w:t xml:space="preserve">Mười điều khoản quyết định founder thực sự nhận được gì</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500"/>
        <w:gridCol w:w="3700"/>
        <w:gridCol w:w="3438"/>
      </w:tblGrid>
      <w:tr>
        <w:trPr>
          <w:tblHeader/>
        </w:trPr>
        <w:tc>
          <w:tcPr>
            <w:tcW w:type="dxa" w:w="25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Điều khoản</w:t>
            </w:r>
          </w:p>
        </w:tc>
        <w:tc>
          <w:tcPr>
            <w:tcW w:type="dxa" w:w="37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Mức thông lệ (mẫu này dùng)</w:t>
            </w:r>
          </w:p>
        </w:tc>
        <w:tc>
          <w:tcPr>
            <w:tcW w:type="dxa" w:w="3438"/>
            <w:shd w:fill="1C2B4A" w:color="auto" w:val="clear"/>
            <w:tcMar>
              <w:top w:type="dxa" w:w="80"/>
              <w:left w:type="dxa" w:w="120"/>
              <w:bottom w:type="dxa" w:w="80"/>
              <w:right w:type="dxa" w:w="120"/>
            </w:tcMar>
          </w:tcPr>
          <w:p>
            <w:pPr>
              <w:spacing w:after="40" w:line="264"/>
              <w:jc w:val="left"/>
            </w:pPr>
            <w:r>
              <w:rPr>
                <w:b/>
                <w:bCs/>
                <w:color w:val="FFFFFF"/>
                <w:sz w:val="20"/>
                <w:szCs w:val="20"/>
              </w:rPr>
              <w:t xml:space="preserve">Cờ đỏ cần hỏi lại</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Ưu tiên thanh toán</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1 lần, không tham gia</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Từ 2 lần trở lên, hoặc có tham gia không giới hạn</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Chống pha loãng</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Bình quân gia quyền diện rộng</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Toàn phần (full ratchet)</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Quỹ ESOP</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10% tới 15% sau vòng, đủ cho kế hoạch tuyển 18 tháng</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Trên 20%, hoặc bắt tạo trước vòng mà không có kế hoạch tuyển</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Hội đồng quản trị</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Founder giữ đa số</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Nhà đầu tư nắm đa số ngay từ vòng seed</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Quyền phủ quyết</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Danh sách ngắn, chỉ việc ảnh hưởng quyền của nhà đầu tư</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Phủ quyết cả ngân sách, tuyển dụng, chi tiêu thường ngày</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Cổ tức</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Không cộng dồn, chỉ khi được công bố</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Cổ tức tích luỹ 8% trở lên</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Quyền yêu cầu mua lại</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Không có</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Công ty hoặc founder phải mua lại sau 5 năm</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Vesting founder</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4 năm, cliff 1 năm, tính thời gian đã làm</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Bắt đầu lại từ đầu, không tính thời gian đã làm</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No-shop</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30 tới 45 ngày, tự chấm dứt nếu nhà đầu tư rút</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Từ 90 ngày trở lên</w:t>
            </w:r>
          </w:p>
        </w:tc>
      </w:tr>
      <w:tr>
        <w:trPr>
          <w:cantSplit/>
        </w:trPr>
        <w:tc>
          <w:tcPr>
            <w:tcW w:type="dxa" w:w="25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Chi phí</w:t>
            </w:r>
          </w:p>
        </w:tc>
        <w:tc>
          <w:tcPr>
            <w:tcW w:type="dxa" w:w="3700"/>
            <w:tcMar>
              <w:top w:type="dxa" w:w="80"/>
              <w:left w:type="dxa" w:w="120"/>
              <w:bottom w:type="dxa" w:w="80"/>
              <w:right w:type="dxa" w:w="120"/>
            </w:tcMar>
          </w:tcPr>
          <w:p>
            <w:pPr>
              <w:spacing w:after="40" w:line="264"/>
              <w:jc w:val="left"/>
            </w:pPr>
            <w:r>
              <w:rPr>
                <w:b w:val="false"/>
                <w:bCs w:val="false"/>
                <w:sz w:val="20"/>
                <w:szCs w:val="20"/>
              </w:rPr>
              <w:t xml:space="preserve">Công ty trả phí luật sư của nhà đầu tư, có trần</w:t>
            </w:r>
          </w:p>
        </w:tc>
        <w:tc>
          <w:tcPr>
            <w:tcW w:type="dxa" w:w="3438"/>
            <w:tcMar>
              <w:top w:type="dxa" w:w="80"/>
              <w:left w:type="dxa" w:w="120"/>
              <w:bottom w:type="dxa" w:w="80"/>
              <w:right w:type="dxa" w:w="120"/>
            </w:tcMar>
          </w:tcPr>
          <w:p>
            <w:pPr>
              <w:spacing w:after="40" w:line="264"/>
              <w:jc w:val="left"/>
            </w:pPr>
            <w:r>
              <w:rPr>
                <w:b w:val="false"/>
                <w:bCs w:val="false"/>
                <w:sz w:val="20"/>
                <w:szCs w:val="20"/>
              </w:rPr>
              <w:t xml:space="preserve">Không có trần, hoặc trả cả khi thương vụ không thành</w:t>
            </w:r>
          </w:p>
        </w:tc>
      </w:tr>
    </w:tbl>
    <w:p>
      <w:pPr>
        <w:spacing w:after="120"/>
      </w:pPr>
    </w:p>
    <w:p>
      <w:pPr>
        <w:spacing w:after="120" w:line="288"/>
        <w:jc w:val="both"/>
      </w:pPr>
      <w:r>
        <w:t xml:space="preserve">Muốn so sánh nhiều term sheet bằng con số (định giá thực sau ESOP, tiền founder nhận ở từng mức giá bán công ty), dùng mẫu Excel "So sánh term sheet" và công cụ "Đọc term sheet bằng con số" trên fundraising.vn.</w:t>
      </w:r>
    </w:p>
    <w:p>
      <w:pPr>
        <w:pStyle w:val="Heading2"/>
        <w:keepNext/>
        <w:spacing w:after="100" w:before="200"/>
      </w:pPr>
      <w:r>
        <w:t xml:space="preserve">Bốn điểm riêng của Việt Nam</w:t>
      </w:r>
    </w:p>
    <w:p>
      <w:pPr>
        <w:pStyle w:val="ListParagraph"/>
        <w:numPr>
          <w:ilvl w:val="0"/>
          <w:numId w:val="2"/>
        </w:numPr>
        <w:spacing w:after="80" w:line="276"/>
        <w:jc w:val="both"/>
      </w:pPr>
      <w:r>
        <w:t xml:space="preserve">Luật Doanh nghiệp 2020 cho phép các loại cổ phần ưu đãi cổ tức, ưu đãi hoàn lại và cổ phần ưu đãi khác theo điều lệ. Quyền của nhà đầu tư vì vậy thường được thể hiện bằng điều lệ cộng thoả thuận cổ đông, không chỉ bằng tên loại cổ phần. Cổ phần ưu đãi biểu quyết chỉ dành cho cổ đông sáng lập và tổ chức được Chính phủ uỷ quyền.</w:t>
      </w:r>
    </w:p>
    <w:p>
      <w:pPr>
        <w:pStyle w:val="ListParagraph"/>
        <w:numPr>
          <w:ilvl w:val="0"/>
          <w:numId w:val="2"/>
        </w:numPr>
        <w:spacing w:after="80" w:line="276"/>
        <w:jc w:val="both"/>
      </w:pPr>
      <w:r>
        <w:t xml:space="preserve">Nếu nhà đầu tư là nhà đầu tư nước ngoài, có thể phải làm thủ tục đăng ký góp vốn, mua cổ phần với cơ quan đăng ký đầu tư và mở tài khoản vốn đầu tư theo quy định ngoại hối trước khi giải ngân. Tính thời gian này vào lịch đóng vòng.</w:t>
      </w:r>
    </w:p>
    <w:p>
      <w:pPr>
        <w:pStyle w:val="ListParagraph"/>
        <w:numPr>
          <w:ilvl w:val="0"/>
          <w:numId w:val="2"/>
        </w:numPr>
        <w:spacing w:after="80" w:line="276"/>
        <w:jc w:val="both"/>
      </w:pPr>
      <w:r>
        <w:t xml:space="preserve">Nhiều quỹ nước ngoài chỉ đầu tư vào công ty mẹ ở nước ngoài, phổ biến là Singapore. Nếu vậy, mẫu term sheet sẽ theo luật nơi đặt công ty mẹ.</w:t>
      </w:r>
    </w:p>
    <w:p>
      <w:pPr>
        <w:pStyle w:val="ListParagraph"/>
        <w:numPr>
          <w:ilvl w:val="0"/>
          <w:numId w:val="2"/>
        </w:numPr>
        <w:spacing w:after="80" w:line="276"/>
        <w:jc w:val="both"/>
      </w:pPr>
      <w:r>
        <w:t xml:space="preserve">Một số điều khoản như chống pha loãng hay ưu tiên thanh toán khó thực thi trực tiếp theo luật Việt Nam và thường được bảo đảm bằng cam kết hợp đồng giữa các cổ đông. Hỏi luật sư cách viết cụ thể.</w:t>
      </w:r>
    </w:p>
    <w:p>
      <w:r>
        <w:br w:type="page"/>
      </w:r>
    </w:p>
    <w:p>
      <w:pPr>
        <w:pStyle w:val="Heading1"/>
        <w:keepNext/>
        <w:spacing w:after="120" w:before="280"/>
      </w:pPr>
      <w:r>
        <w:t xml:space="preserve">Phần B. Mẫu term sheet</w:t>
      </w:r>
    </w:p>
    <w:p>
      <w:pPr>
        <w:spacing w:after="120" w:line="288"/>
        <w:jc w:val="center"/>
      </w:pPr>
      <w:r>
        <w:rPr>
          <w:b/>
          <w:bCs/>
          <w:color w:val="1C2B4A"/>
          <w:sz w:val="28"/>
          <w:szCs w:val="28"/>
        </w:rPr>
        <w:t xml:space="preserve">BẢN ĐIỀU KHOẢN ĐẦU TƯ (TERM SHEET)</w:t>
      </w:r>
    </w:p>
    <w:p>
      <w:pPr>
        <w:spacing w:after="120" w:line="288"/>
        <w:jc w:val="center"/>
      </w:pPr>
      <w:r>
        <w:rPr>
          <w:b/>
          <w:bCs/>
        </w:rPr>
        <w:t xml:space="preserve">Vòng </w:t>
      </w:r>
      <w:r>
        <w:rPr>
          <w:b/>
          <w:bCs/>
          <w:shd w:fill="FBE7DA" w:color="auto" w:val="clear"/>
        </w:rPr>
        <w:t xml:space="preserve">[Seed]</w:t>
      </w:r>
      <w:r>
        <w:rPr>
          <w:b/>
          <w:bCs/>
        </w:rPr>
        <w:t xml:space="preserve"> của Công ty Cổ phần </w:t>
      </w:r>
      <w:r>
        <w:rPr>
          <w:b/>
          <w:bCs/>
          <w:shd w:fill="FBE7DA" w:color="auto" w:val="clear"/>
        </w:rPr>
        <w:t xml:space="preserve">[Tên công ty]</w:t>
      </w:r>
    </w:p>
    <w:p>
      <w:pPr>
        <w:spacing w:after="120" w:line="288"/>
        <w:jc w:val="center"/>
      </w:pPr>
      <w:r>
        <w:rPr>
          <w:i/>
          <w:iCs/>
        </w:rPr>
        <w:t xml:space="preserve">Ngày </w:t>
      </w:r>
      <w:r>
        <w:rPr>
          <w:i/>
          <w:iCs/>
          <w:shd w:fill="FBE7DA" w:color="auto" w:val="clear"/>
        </w:rPr>
        <w:t xml:space="preserve">[●]</w:t>
      </w:r>
    </w:p>
    <w:p>
      <w:pPr>
        <w:spacing w:after="120" w:line="288"/>
        <w:jc w:val="both"/>
      </w:pPr>
      <w:r>
        <w:t xml:space="preserve">Bản điều khoản này tóm tắt các điều kiện chính của khoản đầu tư đề xuất. Trừ các mục ghi là có hiệu lực ràng buộc tại mục 6, bản này không tạo nghĩa vụ pháp lý cho bất kỳ bên nào cho tới khi các văn bản giao dịch chính thức được ký.</w:t>
      </w:r>
    </w:p>
    <w:p>
      <w:pPr>
        <w:pStyle w:val="Heading2"/>
        <w:keepNext/>
        <w:spacing w:after="100" w:before="200"/>
      </w:pPr>
      <w:r>
        <w:t xml:space="preserve">1. Thương vụ</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550"/>
        <w:gridCol w:w="7088"/>
      </w:tblGrid>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Công ty</w:t>
            </w:r>
          </w:p>
        </w:tc>
        <w:tc>
          <w:tcPr>
            <w:tcW w:type="dxa" w:w="7088"/>
            <w:tcMar>
              <w:top w:type="dxa" w:w="80"/>
              <w:left w:type="dxa" w:w="120"/>
              <w:bottom w:type="dxa" w:w="80"/>
              <w:right w:type="dxa" w:w="120"/>
            </w:tcMar>
          </w:tcPr>
          <w:p>
            <w:pPr>
              <w:spacing w:after="80" w:line="276"/>
              <w:jc w:val="both"/>
            </w:pPr>
            <w:r>
              <w:rPr>
                <w:sz w:val="21"/>
                <w:szCs w:val="21"/>
              </w:rPr>
              <w:t xml:space="preserve">Công ty Cổ phần </w:t>
            </w:r>
            <w:r>
              <w:rPr>
                <w:sz w:val="21"/>
                <w:szCs w:val="21"/>
                <w:shd w:fill="FBE7DA" w:color="auto" w:val="clear"/>
              </w:rPr>
              <w:t xml:space="preserve">[Tên công ty]</w:t>
            </w:r>
            <w:r>
              <w:rPr>
                <w:sz w:val="21"/>
                <w:szCs w:val="21"/>
              </w:rPr>
              <w:t xml:space="preserve">, mã số doanh nghiệp </w:t>
            </w:r>
            <w:r>
              <w:rPr>
                <w:sz w:val="21"/>
                <w:szCs w:val="21"/>
                <w:shd w:fill="FBE7DA" w:color="auto" w:val="clear"/>
              </w:rPr>
              <w:t xml:space="preserve">[●]</w:t>
            </w:r>
            <w:r>
              <w:rPr>
                <w:sz w:val="21"/>
                <w:szCs w:val="21"/>
              </w:rPr>
              <w:t xml:space="preserve"> ("Công ty").</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Nhà đầu tư</w:t>
            </w:r>
          </w:p>
        </w:tc>
        <w:tc>
          <w:tcPr>
            <w:tcW w:type="dxa" w:w="7088"/>
            <w:tcMar>
              <w:top w:type="dxa" w:w="80"/>
              <w:left w:type="dxa" w:w="120"/>
              <w:bottom w:type="dxa" w:w="80"/>
              <w:right w:type="dxa" w:w="120"/>
            </w:tcMar>
          </w:tcPr>
          <w:p>
            <w:pPr>
              <w:spacing w:after="80" w:line="276"/>
              <w:jc w:val="both"/>
            </w:pPr>
            <w:r>
              <w:rPr>
                <w:sz w:val="21"/>
                <w:szCs w:val="21"/>
                <w:shd w:fill="FBE7DA" w:color="auto" w:val="clear"/>
              </w:rPr>
              <w:t xml:space="preserve">[Tên nhà đầu tư dẫn dắt]</w:t>
            </w:r>
            <w:r>
              <w:rPr>
                <w:sz w:val="21"/>
                <w:szCs w:val="21"/>
              </w:rPr>
              <w:t xml:space="preserve"> ("Nhà Đầu Tư Dẫn Dắt") và các nhà đầu tư khác được Nhà Đầu Tư Dẫn Dắt và Công ty chấp thuận (gọi chung là "Nhà Đầu Tư").</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Người sáng lập</w:t>
            </w:r>
          </w:p>
        </w:tc>
        <w:tc>
          <w:tcPr>
            <w:tcW w:type="dxa" w:w="7088"/>
            <w:tcMar>
              <w:top w:type="dxa" w:w="80"/>
              <w:left w:type="dxa" w:w="120"/>
              <w:bottom w:type="dxa" w:w="80"/>
              <w:right w:type="dxa" w:w="120"/>
            </w:tcMar>
          </w:tcPr>
          <w:p>
            <w:pPr>
              <w:spacing w:after="80" w:line="276"/>
              <w:jc w:val="both"/>
            </w:pPr>
            <w:r>
              <w:rPr>
                <w:sz w:val="21"/>
                <w:szCs w:val="21"/>
                <w:shd w:fill="FBE7DA" w:color="auto" w:val="clear"/>
              </w:rPr>
              <w:t xml:space="preserve">[Họ tên]</w:t>
            </w:r>
            <w:r>
              <w:rPr>
                <w:sz w:val="21"/>
                <w:szCs w:val="21"/>
              </w:rPr>
              <w:t xml:space="preserve">, </w:t>
            </w:r>
            <w:r>
              <w:rPr>
                <w:sz w:val="21"/>
                <w:szCs w:val="21"/>
                <w:shd w:fill="FBE7DA" w:color="auto" w:val="clear"/>
              </w:rPr>
              <w:t xml:space="preserve">[Họ tên]</w:t>
            </w:r>
            <w:r>
              <w:rPr>
                <w:sz w:val="21"/>
                <w:szCs w:val="21"/>
              </w:rPr>
              <w:t xml:space="preserve"> ("Người Sáng Lập").</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Số tiền đầu tư</w:t>
            </w:r>
          </w:p>
        </w:tc>
        <w:tc>
          <w:tcPr>
            <w:tcW w:type="dxa" w:w="7088"/>
            <w:tcMar>
              <w:top w:type="dxa" w:w="80"/>
              <w:left w:type="dxa" w:w="120"/>
              <w:bottom w:type="dxa" w:w="80"/>
              <w:right w:type="dxa" w:w="120"/>
            </w:tcMar>
          </w:tcPr>
          <w:p>
            <w:pPr>
              <w:spacing w:after="80" w:line="276"/>
              <w:jc w:val="both"/>
            </w:pPr>
            <w:r>
              <w:rPr>
                <w:sz w:val="21"/>
                <w:szCs w:val="21"/>
              </w:rPr>
              <w:t xml:space="preserve">Tổng </w:t>
            </w:r>
            <w:r>
              <w:rPr>
                <w:sz w:val="21"/>
                <w:szCs w:val="21"/>
                <w:shd w:fill="FBE7DA" w:color="auto" w:val="clear"/>
              </w:rPr>
              <w:t xml:space="preserve">[●]</w:t>
            </w:r>
            <w:r>
              <w:rPr>
                <w:sz w:val="21"/>
                <w:szCs w:val="21"/>
              </w:rPr>
              <w:t xml:space="preserve"> tỷ đồng, trong đó Nhà Đầu Tư Dẫn Dắt cam kết tối thiểu </w:t>
            </w:r>
            <w:r>
              <w:rPr>
                <w:sz w:val="21"/>
                <w:szCs w:val="21"/>
                <w:shd w:fill="FBE7DA" w:color="auto" w:val="clear"/>
              </w:rPr>
              <w:t xml:space="preserve">[●]</w:t>
            </w:r>
            <w:r>
              <w:rPr>
                <w:sz w:val="21"/>
                <w:szCs w:val="21"/>
              </w:rPr>
              <w:t xml:space="preserve"> tỷ đồng.</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Định giá trước vòng</w:t>
            </w:r>
          </w:p>
        </w:tc>
        <w:tc>
          <w:tcPr>
            <w:tcW w:type="dxa" w:w="7088"/>
            <w:tcMar>
              <w:top w:type="dxa" w:w="80"/>
              <w:left w:type="dxa" w:w="120"/>
              <w:bottom w:type="dxa" w:w="80"/>
              <w:right w:type="dxa" w:w="120"/>
            </w:tcMar>
          </w:tcPr>
          <w:p>
            <w:pPr>
              <w:spacing w:after="80" w:line="276"/>
              <w:jc w:val="both"/>
            </w:pPr>
            <w:r>
              <w:rPr>
                <w:sz w:val="21"/>
                <w:szCs w:val="21"/>
                <w:shd w:fill="FBE7DA" w:color="auto" w:val="clear"/>
              </w:rPr>
              <w:t xml:space="preserve">[●]</w:t>
            </w:r>
            <w:r>
              <w:rPr>
                <w:sz w:val="21"/>
                <w:szCs w:val="21"/>
              </w:rPr>
              <w:t xml:space="preserve"> tỷ đồng, tính trên cơ sở pha loãng toàn phần, đã bao gồm </w:t>
            </w:r>
            <w:r>
              <w:rPr>
                <w:sz w:val="21"/>
                <w:szCs w:val="21"/>
                <w:shd w:fill="FBE7DA" w:color="auto" w:val="clear"/>
              </w:rPr>
              <w:t xml:space="preserve">[Quỹ ESOP theo mục 4 / mọi SAFE và trái phiếu chuyển đổi đang lưu hành]</w:t>
            </w:r>
            <w:r>
              <w:rPr>
                <w:sz w:val="21"/>
                <w:szCs w:val="21"/>
              </w:rPr>
              <w:t xml:space="preserve">.</w:t>
            </w:r>
          </w:p>
          <w:p>
            <w:pPr>
              <w:spacing w:after="40" w:line="264"/>
            </w:pPr>
            <w:r>
              <w:rPr>
                <w:b/>
                <w:bCs/>
                <w:i/>
                <w:iCs/>
                <w:color w:val="D9692B"/>
                <w:sz w:val="19"/>
                <w:szCs w:val="19"/>
              </w:rPr>
              <w:t xml:space="preserve">Ghi chú: </w:t>
            </w:r>
            <w:r>
              <w:rPr>
                <w:i/>
                <w:iCs/>
                <w:color w:val="5B6577"/>
                <w:sz w:val="19"/>
                <w:szCs w:val="19"/>
              </w:rPr>
              <w:t xml:space="preserve">Hỏi rõ ESOP nằm trong hay ngoài định giá trước vòng. Nằm trong thì founder gánh toàn bộ phần pha loãng của ESOP.</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Loại cổ phần</w:t>
            </w:r>
          </w:p>
        </w:tc>
        <w:tc>
          <w:tcPr>
            <w:tcW w:type="dxa" w:w="7088"/>
            <w:tcMar>
              <w:top w:type="dxa" w:w="80"/>
              <w:left w:type="dxa" w:w="120"/>
              <w:bottom w:type="dxa" w:w="80"/>
              <w:right w:type="dxa" w:w="120"/>
            </w:tcMar>
          </w:tcPr>
          <w:p>
            <w:pPr>
              <w:spacing w:after="80" w:line="276"/>
              <w:jc w:val="both"/>
            </w:pPr>
            <w:r>
              <w:rPr>
                <w:sz w:val="21"/>
                <w:szCs w:val="21"/>
              </w:rPr>
              <w:t xml:space="preserve">Cổ phần ưu đãi </w:t>
            </w:r>
            <w:r>
              <w:rPr>
                <w:sz w:val="21"/>
                <w:szCs w:val="21"/>
                <w:shd w:fill="FBE7DA" w:color="auto" w:val="clear"/>
              </w:rPr>
              <w:t xml:space="preserve">[cổ tức / loại khác theo Điều lệ]</w:t>
            </w:r>
            <w:r>
              <w:rPr>
                <w:sz w:val="21"/>
                <w:szCs w:val="21"/>
              </w:rPr>
              <w:t xml:space="preserve"> phát hành mới ("Cổ Phần Ưu Đãi Seed"), có các quyền nêu trong bản này.</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Giá mỗi cổ phần</w:t>
            </w:r>
          </w:p>
        </w:tc>
        <w:tc>
          <w:tcPr>
            <w:tcW w:type="dxa" w:w="7088"/>
            <w:tcMar>
              <w:top w:type="dxa" w:w="80"/>
              <w:left w:type="dxa" w:w="120"/>
              <w:bottom w:type="dxa" w:w="80"/>
              <w:right w:type="dxa" w:w="120"/>
            </w:tcMar>
          </w:tcPr>
          <w:p>
            <w:pPr>
              <w:spacing w:after="80" w:line="276"/>
              <w:jc w:val="both"/>
            </w:pPr>
            <w:r>
              <w:rPr>
                <w:sz w:val="21"/>
                <w:szCs w:val="21"/>
              </w:rPr>
              <w:t xml:space="preserve">Bằng định giá trước vòng chia cho tổng số cổ phần pha loãng toàn phần ngay trước vòng ("Giá Gốc").</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Sử dụng vốn</w:t>
            </w:r>
          </w:p>
        </w:tc>
        <w:tc>
          <w:tcPr>
            <w:tcW w:type="dxa" w:w="7088"/>
            <w:tcMar>
              <w:top w:type="dxa" w:w="80"/>
              <w:left w:type="dxa" w:w="120"/>
              <w:bottom w:type="dxa" w:w="80"/>
              <w:right w:type="dxa" w:w="120"/>
            </w:tcMar>
          </w:tcPr>
          <w:p>
            <w:pPr>
              <w:spacing w:after="80" w:line="276"/>
              <w:jc w:val="both"/>
            </w:pPr>
            <w:r>
              <w:rPr>
                <w:sz w:val="21"/>
                <w:szCs w:val="21"/>
              </w:rPr>
              <w:t xml:space="preserve">Theo kế hoạch tại Phụ lục, chủ yếu cho </w:t>
            </w:r>
            <w:r>
              <w:rPr>
                <w:sz w:val="21"/>
                <w:szCs w:val="21"/>
                <w:shd w:fill="FBE7DA" w:color="auto" w:val="clear"/>
              </w:rPr>
              <w:t xml:space="preserve">[phát triển sản phẩm, tuyển dụng, bán hàng]</w:t>
            </w:r>
            <w:r>
              <w:rPr>
                <w:sz w:val="21"/>
                <w:szCs w:val="21"/>
              </w:rPr>
              <w:t xml:space="preserve"> trong </w:t>
            </w:r>
            <w:r>
              <w:rPr>
                <w:sz w:val="21"/>
                <w:szCs w:val="21"/>
                <w:shd w:fill="FBE7DA" w:color="auto" w:val="clear"/>
              </w:rPr>
              <w:t xml:space="preserve">[18]</w:t>
            </w:r>
            <w:r>
              <w:rPr>
                <w:sz w:val="21"/>
                <w:szCs w:val="21"/>
              </w:rPr>
              <w:t xml:space="preserve"> tháng.</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Đóng vòng</w:t>
            </w:r>
          </w:p>
        </w:tc>
        <w:tc>
          <w:tcPr>
            <w:tcW w:type="dxa" w:w="7088"/>
            <w:tcMar>
              <w:top w:type="dxa" w:w="80"/>
              <w:left w:type="dxa" w:w="120"/>
              <w:bottom w:type="dxa" w:w="80"/>
              <w:right w:type="dxa" w:w="120"/>
            </w:tcMar>
          </w:tcPr>
          <w:p>
            <w:pPr>
              <w:spacing w:after="80" w:line="276"/>
              <w:jc w:val="both"/>
            </w:pPr>
            <w:r>
              <w:rPr>
                <w:sz w:val="21"/>
                <w:szCs w:val="21"/>
              </w:rPr>
              <w:t xml:space="preserve">Dự kiến trong </w:t>
            </w:r>
            <w:r>
              <w:rPr>
                <w:sz w:val="21"/>
                <w:szCs w:val="21"/>
                <w:shd w:fill="FBE7DA" w:color="auto" w:val="clear"/>
              </w:rPr>
              <w:t xml:space="preserve">[60]</w:t>
            </w:r>
            <w:r>
              <w:rPr>
                <w:sz w:val="21"/>
                <w:szCs w:val="21"/>
              </w:rPr>
              <w:t xml:space="preserve"> ngày kể từ ngày ký bản này. Giải ngân </w:t>
            </w:r>
            <w:r>
              <w:rPr>
                <w:sz w:val="21"/>
                <w:szCs w:val="21"/>
                <w:shd w:fill="FBE7DA" w:color="auto" w:val="clear"/>
              </w:rPr>
              <w:t xml:space="preserve">[một lần / theo [2]</w:t>
            </w:r>
            <w:r>
              <w:rPr>
                <w:sz w:val="21"/>
                <w:szCs w:val="21"/>
              </w:rPr>
              <w:t xml:space="preserve"> đợt gắn với các mốc tại Phụ lục].</w:t>
            </w:r>
          </w:p>
          <w:p>
            <w:pPr>
              <w:spacing w:after="40" w:line="264"/>
            </w:pPr>
            <w:r>
              <w:rPr>
                <w:b/>
                <w:bCs/>
                <w:i/>
                <w:iCs/>
                <w:color w:val="D9692B"/>
                <w:sz w:val="19"/>
                <w:szCs w:val="19"/>
              </w:rPr>
              <w:t xml:space="preserve">Ghi chú: </w:t>
            </w:r>
            <w:r>
              <w:rPr>
                <w:i/>
                <w:iCs/>
                <w:color w:val="5B6577"/>
                <w:sz w:val="19"/>
                <w:szCs w:val="19"/>
              </w:rPr>
              <w:t xml:space="preserve">Giải ngân theo đợt chỉ hợp lý khi mốc đo được rõ ràng và nằm trong tầm kiểm soát của công ty.</w:t>
            </w:r>
          </w:p>
        </w:tc>
      </w:tr>
    </w:tbl>
    <w:p>
      <w:pPr>
        <w:spacing w:after="120"/>
      </w:pPr>
    </w:p>
    <w:p>
      <w:pPr>
        <w:pStyle w:val="Heading2"/>
        <w:keepNext/>
        <w:spacing w:after="100" w:before="200"/>
      </w:pPr>
      <w:r>
        <w:t xml:space="preserve">2. Quyền kinh tế</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550"/>
        <w:gridCol w:w="7088"/>
      </w:tblGrid>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Ưu tiên thanh toán</w:t>
            </w:r>
          </w:p>
        </w:tc>
        <w:tc>
          <w:tcPr>
            <w:tcW w:type="dxa" w:w="7088"/>
            <w:tcMar>
              <w:top w:type="dxa" w:w="80"/>
              <w:left w:type="dxa" w:w="120"/>
              <w:bottom w:type="dxa" w:w="80"/>
              <w:right w:type="dxa" w:w="120"/>
            </w:tcMar>
          </w:tcPr>
          <w:p>
            <w:pPr>
              <w:spacing w:after="80" w:line="276"/>
              <w:jc w:val="both"/>
            </w:pPr>
            <w:r>
              <w:rPr>
                <w:sz w:val="21"/>
                <w:szCs w:val="21"/>
              </w:rPr>
              <w:t xml:space="preserve">Khi Công ty được bán, sáp nhập hoặc giải thể, sau khi trả các khoản nợ, người nắm Cổ Phần Ưu Đãi Seed được nhận trước số tiền lớn hơn giữa (a) </w:t>
            </w:r>
            <w:r>
              <w:rPr>
                <w:sz w:val="21"/>
                <w:szCs w:val="21"/>
                <w:shd w:fill="FBE7DA" w:color="auto" w:val="clear"/>
              </w:rPr>
              <w:t xml:space="preserve">[1]</w:t>
            </w:r>
            <w:r>
              <w:rPr>
                <w:sz w:val="21"/>
                <w:szCs w:val="21"/>
              </w:rPr>
              <w:t xml:space="preserve"> lần Giá Gốc cộng cổ tức đã công bố mà chưa trả, và (b) số tiền họ nhận được nếu chuyển đổi sang cổ phần phổ thông. Phần còn lại chia cho cổ đông phổ thông.</w:t>
            </w:r>
          </w:p>
          <w:p>
            <w:pPr>
              <w:spacing w:after="40" w:line="264"/>
            </w:pPr>
            <w:r>
              <w:rPr>
                <w:b/>
                <w:bCs/>
                <w:i/>
                <w:iCs/>
                <w:color w:val="D9692B"/>
                <w:sz w:val="19"/>
                <w:szCs w:val="19"/>
              </w:rPr>
              <w:t xml:space="preserve">Ghi chú: </w:t>
            </w:r>
            <w:r>
              <w:rPr>
                <w:i/>
                <w:iCs/>
                <w:color w:val="5B6577"/>
                <w:sz w:val="19"/>
                <w:szCs w:val="19"/>
              </w:rPr>
              <w:t xml:space="preserve">Đây là ưu tiên 1 lần không tham gia, mức chuẩn ở vòng sớm. Xem thêm "thác phân phối" và "pari passu" trong Từ điển của fundraising.vn.</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Thứ tự giữa các vòng</w:t>
            </w:r>
          </w:p>
        </w:tc>
        <w:tc>
          <w:tcPr>
            <w:tcW w:type="dxa" w:w="7088"/>
            <w:tcMar>
              <w:top w:type="dxa" w:w="80"/>
              <w:left w:type="dxa" w:w="120"/>
              <w:bottom w:type="dxa" w:w="80"/>
              <w:right w:type="dxa" w:w="120"/>
            </w:tcMar>
          </w:tcPr>
          <w:p>
            <w:pPr>
              <w:spacing w:after="80" w:line="276"/>
              <w:jc w:val="both"/>
            </w:pPr>
            <w:r>
              <w:rPr>
                <w:sz w:val="21"/>
                <w:szCs w:val="21"/>
              </w:rPr>
              <w:t xml:space="preserve">Ưu tiên thanh toán của các vòng sau </w:t>
            </w:r>
            <w:r>
              <w:rPr>
                <w:sz w:val="21"/>
                <w:szCs w:val="21"/>
                <w:shd w:fill="FBE7DA" w:color="auto" w:val="clear"/>
              </w:rPr>
              <w:t xml:space="preserve">[ngang hàng (pari passu) với / xếp trên]</w:t>
            </w:r>
            <w:r>
              <w:rPr>
                <w:sz w:val="21"/>
                <w:szCs w:val="21"/>
              </w:rPr>
              <w:t xml:space="preserve"> Cổ Phần Ưu Đãi Seed.</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Cổ tức</w:t>
            </w:r>
          </w:p>
        </w:tc>
        <w:tc>
          <w:tcPr>
            <w:tcW w:type="dxa" w:w="7088"/>
            <w:tcMar>
              <w:top w:type="dxa" w:w="80"/>
              <w:left w:type="dxa" w:w="120"/>
              <w:bottom w:type="dxa" w:w="80"/>
              <w:right w:type="dxa" w:w="120"/>
            </w:tcMar>
          </w:tcPr>
          <w:p>
            <w:pPr>
              <w:spacing w:after="80" w:line="276"/>
              <w:jc w:val="both"/>
            </w:pPr>
            <w:r>
              <w:rPr>
                <w:sz w:val="21"/>
                <w:szCs w:val="21"/>
              </w:rPr>
              <w:t xml:space="preserve">Không cộng dồn. Cổ Phần Ưu Đãi Seed nhận cổ tức khi Hội đồng quản trị công bố, cùng lúc và theo cùng tỷ lệ với cổ phần phổ thông như thể đã chuyển đổi.</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Chuyển đổi</w:t>
            </w:r>
          </w:p>
        </w:tc>
        <w:tc>
          <w:tcPr>
            <w:tcW w:type="dxa" w:w="7088"/>
            <w:tcMar>
              <w:top w:type="dxa" w:w="80"/>
              <w:left w:type="dxa" w:w="120"/>
              <w:bottom w:type="dxa" w:w="80"/>
              <w:right w:type="dxa" w:w="120"/>
            </w:tcMar>
          </w:tcPr>
          <w:p>
            <w:pPr>
              <w:spacing w:after="80" w:line="276"/>
              <w:jc w:val="both"/>
            </w:pPr>
            <w:r>
              <w:rPr>
                <w:sz w:val="21"/>
                <w:szCs w:val="21"/>
              </w:rPr>
              <w:t xml:space="preserve">Người nắm có quyền chuyển Cổ Phần Ưu Đãi Seed sang cổ phần phổ thông bất kỳ lúc nào theo tỷ lệ 1:1 (điều chỉnh theo chống pha loãng và chia tách). Tự động chuyển đổi khi Công ty niêm yết hoặc khi </w:t>
            </w:r>
            <w:r>
              <w:rPr>
                <w:sz w:val="21"/>
                <w:szCs w:val="21"/>
                <w:shd w:fill="FBE7DA" w:color="auto" w:val="clear"/>
              </w:rPr>
              <w:t xml:space="preserve">[đa số]</w:t>
            </w:r>
            <w:r>
              <w:rPr>
                <w:sz w:val="21"/>
                <w:szCs w:val="21"/>
              </w:rPr>
              <w:t xml:space="preserve"> người nắm Cổ Phần Ưu Đãi Seed đồng ý.</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Chống pha loãng</w:t>
            </w:r>
          </w:p>
        </w:tc>
        <w:tc>
          <w:tcPr>
            <w:tcW w:type="dxa" w:w="7088"/>
            <w:tcMar>
              <w:top w:type="dxa" w:w="80"/>
              <w:left w:type="dxa" w:w="120"/>
              <w:bottom w:type="dxa" w:w="80"/>
              <w:right w:type="dxa" w:w="120"/>
            </w:tcMar>
          </w:tcPr>
          <w:p>
            <w:pPr>
              <w:spacing w:after="80" w:line="276"/>
              <w:jc w:val="both"/>
            </w:pPr>
            <w:r>
              <w:rPr>
                <w:sz w:val="21"/>
                <w:szCs w:val="21"/>
              </w:rPr>
              <w:t xml:space="preserve">Nếu Công ty phát hành cổ phần với giá thấp hơn Giá Gốc, tỷ lệ chuyển đổi được điều chỉnh theo công thức bình quân gia quyền diện rộng. Không áp dụng cho cổ phần ESOP đã duyệt, cổ phần phát hành khi chuyển đổi, chia tách hoặc trả cổ tức.</w:t>
            </w:r>
          </w:p>
          <w:p>
            <w:pPr>
              <w:spacing w:after="40" w:line="264"/>
            </w:pPr>
            <w:r>
              <w:rPr>
                <w:b/>
                <w:bCs/>
                <w:i/>
                <w:iCs/>
                <w:color w:val="D9692B"/>
                <w:sz w:val="19"/>
                <w:szCs w:val="19"/>
              </w:rPr>
              <w:t xml:space="preserve">Ghi chú: </w:t>
            </w:r>
            <w:r>
              <w:rPr>
                <w:i/>
                <w:iCs/>
                <w:color w:val="5B6577"/>
                <w:sz w:val="19"/>
                <w:szCs w:val="19"/>
              </w:rPr>
              <w:t xml:space="preserve">Tránh chống pha loãng toàn phần: trong vòng giảm giá, nó chuyển phần lớn thiệt hại sang founder.</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Quyền yêu cầu mua lại</w:t>
            </w:r>
          </w:p>
        </w:tc>
        <w:tc>
          <w:tcPr>
            <w:tcW w:type="dxa" w:w="7088"/>
            <w:tcMar>
              <w:top w:type="dxa" w:w="80"/>
              <w:left w:type="dxa" w:w="120"/>
              <w:bottom w:type="dxa" w:w="80"/>
              <w:right w:type="dxa" w:w="120"/>
            </w:tcMar>
          </w:tcPr>
          <w:p>
            <w:pPr>
              <w:spacing w:after="80" w:line="276"/>
              <w:jc w:val="both"/>
            </w:pPr>
            <w:r>
              <w:rPr>
                <w:sz w:val="21"/>
                <w:szCs w:val="21"/>
              </w:rPr>
              <w:t xml:space="preserve">Không có.</w:t>
            </w:r>
          </w:p>
        </w:tc>
      </w:tr>
    </w:tbl>
    <w:p>
      <w:pPr>
        <w:spacing w:after="120"/>
      </w:pPr>
    </w:p>
    <w:p>
      <w:pPr>
        <w:pStyle w:val="Heading2"/>
        <w:keepNext/>
        <w:spacing w:after="100" w:before="200"/>
      </w:pPr>
      <w:r>
        <w:t xml:space="preserve">3. Quản trị</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550"/>
        <w:gridCol w:w="7088"/>
      </w:tblGrid>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Hội đồng quản trị</w:t>
            </w:r>
          </w:p>
        </w:tc>
        <w:tc>
          <w:tcPr>
            <w:tcW w:type="dxa" w:w="7088"/>
            <w:tcMar>
              <w:top w:type="dxa" w:w="80"/>
              <w:left w:type="dxa" w:w="120"/>
              <w:bottom w:type="dxa" w:w="80"/>
              <w:right w:type="dxa" w:w="120"/>
            </w:tcMar>
          </w:tcPr>
          <w:p>
            <w:pPr>
              <w:spacing w:after="80" w:line="276"/>
              <w:jc w:val="both"/>
            </w:pPr>
            <w:r>
              <w:rPr>
                <w:sz w:val="21"/>
                <w:szCs w:val="21"/>
              </w:rPr>
              <w:t xml:space="preserve">Gồm </w:t>
            </w:r>
            <w:r>
              <w:rPr>
                <w:sz w:val="21"/>
                <w:szCs w:val="21"/>
                <w:shd w:fill="FBE7DA" w:color="auto" w:val="clear"/>
              </w:rPr>
              <w:t xml:space="preserve">[3]</w:t>
            </w:r>
            <w:r>
              <w:rPr>
                <w:sz w:val="21"/>
                <w:szCs w:val="21"/>
              </w:rPr>
              <w:t xml:space="preserve"> thành viên: </w:t>
            </w:r>
            <w:r>
              <w:rPr>
                <w:sz w:val="21"/>
                <w:szCs w:val="21"/>
                <w:shd w:fill="FBE7DA" w:color="auto" w:val="clear"/>
              </w:rPr>
              <w:t xml:space="preserve">[2]</w:t>
            </w:r>
            <w:r>
              <w:rPr>
                <w:sz w:val="21"/>
                <w:szCs w:val="21"/>
              </w:rPr>
              <w:t xml:space="preserve"> do Người Sáng Lập đề cử, </w:t>
            </w:r>
            <w:r>
              <w:rPr>
                <w:sz w:val="21"/>
                <w:szCs w:val="21"/>
                <w:shd w:fill="FBE7DA" w:color="auto" w:val="clear"/>
              </w:rPr>
              <w:t xml:space="preserve">[1]</w:t>
            </w:r>
            <w:r>
              <w:rPr>
                <w:sz w:val="21"/>
                <w:szCs w:val="21"/>
              </w:rPr>
              <w:t xml:space="preserve"> do Nhà Đầu Tư Dẫn Dắt đề cử. Nhà Đầu Tư Dẫn Dắt được cử thêm </w:t>
            </w:r>
            <w:r>
              <w:rPr>
                <w:sz w:val="21"/>
                <w:szCs w:val="21"/>
                <w:shd w:fill="FBE7DA" w:color="auto" w:val="clear"/>
              </w:rPr>
              <w:t xml:space="preserve">[1]</w:t>
            </w:r>
            <w:r>
              <w:rPr>
                <w:sz w:val="21"/>
                <w:szCs w:val="21"/>
              </w:rPr>
              <w:t xml:space="preserve"> quan sát viên không có quyền biểu quyết.</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Quyền phủ quyết</w:t>
            </w:r>
          </w:p>
        </w:tc>
        <w:tc>
          <w:tcPr>
            <w:tcW w:type="dxa" w:w="7088"/>
            <w:tcMar>
              <w:top w:type="dxa" w:w="80"/>
              <w:left w:type="dxa" w:w="120"/>
              <w:bottom w:type="dxa" w:w="80"/>
              <w:right w:type="dxa" w:w="120"/>
            </w:tcMar>
          </w:tcPr>
          <w:p>
            <w:pPr>
              <w:spacing w:after="80" w:line="276"/>
              <w:jc w:val="both"/>
            </w:pPr>
            <w:r>
              <w:rPr>
                <w:sz w:val="21"/>
                <w:szCs w:val="21"/>
              </w:rPr>
              <w:t xml:space="preserve">Các việc sau cần sự chấp thuận của người nắm </w:t>
            </w:r>
            <w:r>
              <w:rPr>
                <w:sz w:val="21"/>
                <w:szCs w:val="21"/>
                <w:shd w:fill="FBE7DA" w:color="auto" w:val="clear"/>
              </w:rPr>
              <w:t xml:space="preserve">[đa số]</w:t>
            </w:r>
            <w:r>
              <w:rPr>
                <w:sz w:val="21"/>
                <w:szCs w:val="21"/>
              </w:rPr>
              <w:t xml:space="preserve"> Cổ Phần Ưu Đãi Seed: (a) sửa điều lệ làm thay đổi bất lợi quyền của Cổ Phần Ưu Đãi Seed; (b) phát hành cổ phần có quyền ngang hoặc cao hơn Cổ Phần Ưu Đãi Seed; (c) mua lại cổ phần, trừ theo thoả thuận vesting và ESOP; (d) trả cổ tức; (e) bán, sáp nhập, giải thể Công ty hoặc bán phần lớn tài sản; (f) thay đổi số thành viên Hội đồng quản trị; (g) vay nợ hoặc bảo lãnh vượt </w:t>
            </w:r>
            <w:r>
              <w:rPr>
                <w:sz w:val="21"/>
                <w:szCs w:val="21"/>
                <w:shd w:fill="FBE7DA" w:color="auto" w:val="clear"/>
              </w:rPr>
              <w:t xml:space="preserve">[●]</w:t>
            </w:r>
            <w:r>
              <w:rPr>
                <w:sz w:val="21"/>
                <w:szCs w:val="21"/>
              </w:rPr>
              <w:t xml:space="preserve"> tỷ đồng ngoài kế hoạch đã duyệt; (h) thay đổi ngành nghề kinh doanh chính.</w:t>
            </w:r>
          </w:p>
          <w:p>
            <w:pPr>
              <w:spacing w:after="40" w:line="264"/>
            </w:pPr>
            <w:r>
              <w:rPr>
                <w:b/>
                <w:bCs/>
                <w:i/>
                <w:iCs/>
                <w:color w:val="D9692B"/>
                <w:sz w:val="19"/>
                <w:szCs w:val="19"/>
              </w:rPr>
              <w:t xml:space="preserve">Ghi chú: </w:t>
            </w:r>
            <w:r>
              <w:rPr>
                <w:i/>
                <w:iCs/>
                <w:color w:val="5B6577"/>
                <w:sz w:val="19"/>
                <w:szCs w:val="19"/>
              </w:rPr>
              <w:t xml:space="preserve">Giữ danh sách ngắn. Phủ quyết ngân sách hằng năm hay tuyển dụng làm chậm điều hành và hiếm khi cần ở vòng seed.</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Quyền thông tin</w:t>
            </w:r>
          </w:p>
        </w:tc>
        <w:tc>
          <w:tcPr>
            <w:tcW w:type="dxa" w:w="7088"/>
            <w:tcMar>
              <w:top w:type="dxa" w:w="80"/>
              <w:left w:type="dxa" w:w="120"/>
              <w:bottom w:type="dxa" w:w="80"/>
              <w:right w:type="dxa" w:w="120"/>
            </w:tcMar>
          </w:tcPr>
          <w:p>
            <w:pPr>
              <w:spacing w:after="80" w:line="276"/>
              <w:jc w:val="both"/>
            </w:pPr>
            <w:r>
              <w:rPr>
                <w:sz w:val="21"/>
                <w:szCs w:val="21"/>
              </w:rPr>
              <w:t xml:space="preserve">Nhà đầu tư nắm từ </w:t>
            </w:r>
            <w:r>
              <w:rPr>
                <w:sz w:val="21"/>
                <w:szCs w:val="21"/>
                <w:shd w:fill="FBE7DA" w:color="auto" w:val="clear"/>
              </w:rPr>
              <w:t xml:space="preserve">[5]</w:t>
            </w:r>
            <w:r>
              <w:rPr>
                <w:sz w:val="21"/>
                <w:szCs w:val="21"/>
              </w:rPr>
              <w:t xml:space="preserve">% cổ phần trở lên ("Nhà Đầu Tư Lớn") nhận: báo cáo tài chính và chỉ số hoạt động hằng quý trong </w:t>
            </w:r>
            <w:r>
              <w:rPr>
                <w:sz w:val="21"/>
                <w:szCs w:val="21"/>
                <w:shd w:fill="FBE7DA" w:color="auto" w:val="clear"/>
              </w:rPr>
              <w:t xml:space="preserve">[45]</w:t>
            </w:r>
            <w:r>
              <w:rPr>
                <w:sz w:val="21"/>
                <w:szCs w:val="21"/>
              </w:rPr>
              <w:t xml:space="preserve"> ngày sau khi kết thúc quý; báo cáo tài chính năm </w:t>
            </w:r>
            <w:r>
              <w:rPr>
                <w:sz w:val="21"/>
                <w:szCs w:val="21"/>
                <w:shd w:fill="FBE7DA" w:color="auto" w:val="clear"/>
              </w:rPr>
              <w:t xml:space="preserve">[có kiểm toán]</w:t>
            </w:r>
            <w:r>
              <w:rPr>
                <w:sz w:val="21"/>
                <w:szCs w:val="21"/>
              </w:rPr>
              <w:t xml:space="preserve"> trong </w:t>
            </w:r>
            <w:r>
              <w:rPr>
                <w:sz w:val="21"/>
                <w:szCs w:val="21"/>
                <w:shd w:fill="FBE7DA" w:color="auto" w:val="clear"/>
              </w:rPr>
              <w:t xml:space="preserve">[120]</w:t>
            </w:r>
            <w:r>
              <w:rPr>
                <w:sz w:val="21"/>
                <w:szCs w:val="21"/>
              </w:rPr>
              <w:t xml:space="preserve"> ngày sau khi kết thúc năm; ngân sách năm trước khi năm bắt đầu. Mọi cổ đông nhận thư cập nhật hằng quý.</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Quyền tham gia vòng sau</w:t>
            </w:r>
          </w:p>
        </w:tc>
        <w:tc>
          <w:tcPr>
            <w:tcW w:type="dxa" w:w="7088"/>
            <w:tcMar>
              <w:top w:type="dxa" w:w="80"/>
              <w:left w:type="dxa" w:w="120"/>
              <w:bottom w:type="dxa" w:w="80"/>
              <w:right w:type="dxa" w:w="120"/>
            </w:tcMar>
          </w:tcPr>
          <w:p>
            <w:pPr>
              <w:spacing w:after="80" w:line="276"/>
              <w:jc w:val="both"/>
            </w:pPr>
            <w:r>
              <w:rPr>
                <w:sz w:val="21"/>
                <w:szCs w:val="21"/>
              </w:rPr>
              <w:t xml:space="preserve">Nhà Đầu Tư Lớn được mua thêm cổ phần mới phát hành để giữ nguyên tỷ lệ sở hữu (pro rata), trừ cổ phần ESOP và các trường hợp loại trừ thông thường.</w:t>
            </w:r>
          </w:p>
        </w:tc>
      </w:tr>
    </w:tbl>
    <w:p>
      <w:pPr>
        <w:spacing w:after="120"/>
      </w:pPr>
    </w:p>
    <w:p>
      <w:pPr>
        <w:pStyle w:val="Heading2"/>
        <w:keepNext/>
        <w:spacing w:after="100" w:before="200"/>
      </w:pPr>
      <w:r>
        <w:t xml:space="preserve">4. Người sáng lập, ESOP và chuyển nhượng</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550"/>
        <w:gridCol w:w="7088"/>
      </w:tblGrid>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Vesting của Người Sáng Lập</w:t>
            </w:r>
          </w:p>
        </w:tc>
        <w:tc>
          <w:tcPr>
            <w:tcW w:type="dxa" w:w="7088"/>
            <w:tcMar>
              <w:top w:type="dxa" w:w="80"/>
              <w:left w:type="dxa" w:w="120"/>
              <w:bottom w:type="dxa" w:w="80"/>
              <w:right w:type="dxa" w:w="120"/>
            </w:tcMar>
          </w:tcPr>
          <w:p>
            <w:pPr>
              <w:spacing w:after="80" w:line="276"/>
              <w:jc w:val="both"/>
            </w:pPr>
            <w:r>
              <w:rPr>
                <w:sz w:val="21"/>
                <w:szCs w:val="21"/>
              </w:rPr>
              <w:t xml:space="preserve">Cổ phần của mỗi Người Sáng Lập chịu vesting trong </w:t>
            </w:r>
            <w:r>
              <w:rPr>
                <w:sz w:val="21"/>
                <w:szCs w:val="21"/>
                <w:shd w:fill="FBE7DA" w:color="auto" w:val="clear"/>
              </w:rPr>
              <w:t xml:space="preserve">[48]</w:t>
            </w:r>
            <w:r>
              <w:rPr>
                <w:sz w:val="21"/>
                <w:szCs w:val="21"/>
              </w:rPr>
              <w:t xml:space="preserve"> tháng, cliff </w:t>
            </w:r>
            <w:r>
              <w:rPr>
                <w:sz w:val="21"/>
                <w:szCs w:val="21"/>
                <w:shd w:fill="FBE7DA" w:color="auto" w:val="clear"/>
              </w:rPr>
              <w:t xml:space="preserve">[12]</w:t>
            </w:r>
            <w:r>
              <w:rPr>
                <w:sz w:val="21"/>
                <w:szCs w:val="21"/>
              </w:rPr>
              <w:t xml:space="preserve"> tháng, tính từ ngày </w:t>
            </w:r>
            <w:r>
              <w:rPr>
                <w:sz w:val="21"/>
                <w:szCs w:val="21"/>
                <w:shd w:fill="FBE7DA" w:color="auto" w:val="clear"/>
              </w:rPr>
              <w:t xml:space="preserve">[ngày bắt đầu làm việc thực tế]</w:t>
            </w:r>
            <w:r>
              <w:rPr>
                <w:sz w:val="21"/>
                <w:szCs w:val="21"/>
              </w:rPr>
              <w:t xml:space="preserve">, theo cơ chế mua lại phần chưa vesting ở mức </w:t>
            </w:r>
            <w:r>
              <w:rPr>
                <w:sz w:val="21"/>
                <w:szCs w:val="21"/>
                <w:shd w:fill="FBE7DA" w:color="auto" w:val="clear"/>
              </w:rPr>
              <w:t xml:space="preserve">[giá đã góp]</w:t>
            </w:r>
            <w:r>
              <w:rPr>
                <w:sz w:val="21"/>
                <w:szCs w:val="21"/>
              </w:rPr>
              <w:t xml:space="preserve">. Tăng tốc </w:t>
            </w:r>
            <w:r>
              <w:rPr>
                <w:sz w:val="21"/>
                <w:szCs w:val="21"/>
                <w:shd w:fill="FBE7DA" w:color="auto" w:val="clear"/>
              </w:rPr>
              <w:t xml:space="preserve">[100]</w:t>
            </w:r>
            <w:r>
              <w:rPr>
                <w:sz w:val="21"/>
                <w:szCs w:val="21"/>
              </w:rPr>
              <w:t xml:space="preserve">% phần còn lại khi Công ty được bán và Người Sáng Lập bị chấm dứt không vì lý do chính đáng trong </w:t>
            </w:r>
            <w:r>
              <w:rPr>
                <w:sz w:val="21"/>
                <w:szCs w:val="21"/>
                <w:shd w:fill="FBE7DA" w:color="auto" w:val="clear"/>
              </w:rPr>
              <w:t xml:space="preserve">[12]</w:t>
            </w:r>
            <w:r>
              <w:rPr>
                <w:sz w:val="21"/>
                <w:szCs w:val="21"/>
              </w:rPr>
              <w:t xml:space="preserve"> tháng sau đó.</w:t>
            </w:r>
          </w:p>
          <w:p>
            <w:pPr>
              <w:spacing w:after="40" w:line="264"/>
            </w:pPr>
            <w:r>
              <w:rPr>
                <w:b/>
                <w:bCs/>
                <w:i/>
                <w:iCs/>
                <w:color w:val="D9692B"/>
                <w:sz w:val="19"/>
                <w:szCs w:val="19"/>
              </w:rPr>
              <w:t xml:space="preserve">Ghi chú: </w:t>
            </w:r>
            <w:r>
              <w:rPr>
                <w:i/>
                <w:iCs/>
                <w:color w:val="5B6577"/>
                <w:sz w:val="19"/>
                <w:szCs w:val="19"/>
              </w:rPr>
              <w:t xml:space="preserve">Xem mẫu "Thoả thuận vesting cổ phần sáng lập" của fundraising.vn để biết cách viết chi tiết.</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Quỹ ESOP</w:t>
            </w:r>
          </w:p>
        </w:tc>
        <w:tc>
          <w:tcPr>
            <w:tcW w:type="dxa" w:w="7088"/>
            <w:tcMar>
              <w:top w:type="dxa" w:w="80"/>
              <w:left w:type="dxa" w:w="120"/>
              <w:bottom w:type="dxa" w:w="80"/>
              <w:right w:type="dxa" w:w="120"/>
            </w:tcMar>
          </w:tcPr>
          <w:p>
            <w:pPr>
              <w:spacing w:after="80" w:line="276"/>
              <w:jc w:val="both"/>
            </w:pPr>
            <w:r>
              <w:rPr>
                <w:sz w:val="21"/>
                <w:szCs w:val="21"/>
              </w:rPr>
              <w:t xml:space="preserve">Công ty dành </w:t>
            </w:r>
            <w:r>
              <w:rPr>
                <w:sz w:val="21"/>
                <w:szCs w:val="21"/>
                <w:shd w:fill="FBE7DA" w:color="auto" w:val="clear"/>
              </w:rPr>
              <w:t xml:space="preserve">[10]</w:t>
            </w:r>
            <w:r>
              <w:rPr>
                <w:sz w:val="21"/>
                <w:szCs w:val="21"/>
              </w:rPr>
              <w:t xml:space="preserve">% cổ phần pha loãng toàn phần </w:t>
            </w:r>
            <w:r>
              <w:rPr>
                <w:sz w:val="21"/>
                <w:szCs w:val="21"/>
                <w:shd w:fill="FBE7DA" w:color="auto" w:val="clear"/>
              </w:rPr>
              <w:t xml:space="preserve">[sau vòng]</w:t>
            </w:r>
            <w:r>
              <w:rPr>
                <w:sz w:val="21"/>
                <w:szCs w:val="21"/>
              </w:rPr>
              <w:t xml:space="preserve"> cho chương trình cổ phần thưởng nhân viên. Chương trình do Hội đồng quản trị phê duyệt, vesting tiêu chuẩn 4 năm, cliff 1 năm.</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Cam kết của Người Sáng Lập</w:t>
            </w:r>
          </w:p>
        </w:tc>
        <w:tc>
          <w:tcPr>
            <w:tcW w:type="dxa" w:w="7088"/>
            <w:tcMar>
              <w:top w:type="dxa" w:w="80"/>
              <w:left w:type="dxa" w:w="120"/>
              <w:bottom w:type="dxa" w:w="80"/>
              <w:right w:type="dxa" w:w="120"/>
            </w:tcMar>
          </w:tcPr>
          <w:p>
            <w:pPr>
              <w:spacing w:after="80" w:line="276"/>
              <w:jc w:val="both"/>
            </w:pPr>
            <w:r>
              <w:rPr>
                <w:sz w:val="21"/>
                <w:szCs w:val="21"/>
              </w:rPr>
              <w:t xml:space="preserve">Mỗi Người Sáng Lập làm việc toàn thời gian, ký thoả thuận chuyển giao sở hữu trí tuệ về Công ty, cam kết bảo mật và không cạnh tranh trong thời gian làm việc và </w:t>
            </w:r>
            <w:r>
              <w:rPr>
                <w:sz w:val="21"/>
                <w:szCs w:val="21"/>
                <w:shd w:fill="FBE7DA" w:color="auto" w:val="clear"/>
              </w:rPr>
              <w:t xml:space="preserve">[12]</w:t>
            </w:r>
            <w:r>
              <w:rPr>
                <w:sz w:val="21"/>
                <w:szCs w:val="21"/>
              </w:rPr>
              <w:t xml:space="preserve"> tháng sau khi nghỉ.</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Ưu tiên mua và bán cùng</w:t>
            </w:r>
          </w:p>
        </w:tc>
        <w:tc>
          <w:tcPr>
            <w:tcW w:type="dxa" w:w="7088"/>
            <w:tcMar>
              <w:top w:type="dxa" w:w="80"/>
              <w:left w:type="dxa" w:w="120"/>
              <w:bottom w:type="dxa" w:w="80"/>
              <w:right w:type="dxa" w:w="120"/>
            </w:tcMar>
          </w:tcPr>
          <w:p>
            <w:pPr>
              <w:spacing w:after="80" w:line="276"/>
              <w:jc w:val="both"/>
            </w:pPr>
            <w:r>
              <w:rPr>
                <w:sz w:val="21"/>
                <w:szCs w:val="21"/>
              </w:rPr>
              <w:t xml:space="preserve">Khi Người Sáng Lập định bán cổ phần, Công ty rồi tới Nhà Đầu Tư Lớn được quyền mua trước cùng giá (ROFR). Nếu không mua, Nhà Đầu Tư Lớn được quyền bán cùng theo tỷ lệ (tag-along).</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Quyền kéo theo</w:t>
            </w:r>
          </w:p>
        </w:tc>
        <w:tc>
          <w:tcPr>
            <w:tcW w:type="dxa" w:w="7088"/>
            <w:tcMar>
              <w:top w:type="dxa" w:w="80"/>
              <w:left w:type="dxa" w:w="120"/>
              <w:bottom w:type="dxa" w:w="80"/>
              <w:right w:type="dxa" w:w="120"/>
            </w:tcMar>
          </w:tcPr>
          <w:p>
            <w:pPr>
              <w:spacing w:after="80" w:line="276"/>
              <w:jc w:val="both"/>
            </w:pPr>
            <w:r>
              <w:rPr>
                <w:sz w:val="21"/>
                <w:szCs w:val="21"/>
              </w:rPr>
              <w:t xml:space="preserve">Nếu Hội đồng quản trị, người nắm </w:t>
            </w:r>
            <w:r>
              <w:rPr>
                <w:sz w:val="21"/>
                <w:szCs w:val="21"/>
                <w:shd w:fill="FBE7DA" w:color="auto" w:val="clear"/>
              </w:rPr>
              <w:t xml:space="preserve">[đa số]</w:t>
            </w:r>
            <w:r>
              <w:rPr>
                <w:sz w:val="21"/>
                <w:szCs w:val="21"/>
              </w:rPr>
              <w:t xml:space="preserve"> Cổ Phần Ưu Đãi Seed và </w:t>
            </w:r>
            <w:r>
              <w:rPr>
                <w:sz w:val="21"/>
                <w:szCs w:val="21"/>
                <w:shd w:fill="FBE7DA" w:color="auto" w:val="clear"/>
              </w:rPr>
              <w:t xml:space="preserve">[đa số]</w:t>
            </w:r>
            <w:r>
              <w:rPr>
                <w:sz w:val="21"/>
                <w:szCs w:val="21"/>
              </w:rPr>
              <w:t xml:space="preserve"> cổ phần phổ thông do Người Sáng Lập nắm cùng chấp thuận bán Công ty, các cổ đông còn lại phải bán theo cùng điều kiện (drag-along), với điều kiện mọi cổ đông nhận cùng loại tiền và không ai phải cam đoan hay bồi thường vượt quá số tiền mình nhận.</w:t>
            </w:r>
          </w:p>
          <w:p>
            <w:pPr>
              <w:spacing w:after="40" w:line="264"/>
            </w:pPr>
            <w:r>
              <w:rPr>
                <w:b/>
                <w:bCs/>
                <w:i/>
                <w:iCs/>
                <w:color w:val="D9692B"/>
                <w:sz w:val="19"/>
                <w:szCs w:val="19"/>
              </w:rPr>
              <w:t xml:space="preserve">Ghi chú: </w:t>
            </w:r>
            <w:r>
              <w:rPr>
                <w:i/>
                <w:iCs/>
                <w:color w:val="5B6577"/>
                <w:sz w:val="19"/>
                <w:szCs w:val="19"/>
              </w:rPr>
              <w:t xml:space="preserve">Đòi điều kiện "cùng loại tiền" và trần trách nhiệm để không bị kéo vào thương vụ bất lợi.</w:t>
            </w:r>
          </w:p>
        </w:tc>
      </w:tr>
    </w:tbl>
    <w:p>
      <w:pPr>
        <w:spacing w:after="120"/>
      </w:pPr>
    </w:p>
    <w:p>
      <w:pPr>
        <w:pStyle w:val="Heading2"/>
        <w:keepNext/>
        <w:spacing w:after="100" w:before="200"/>
      </w:pPr>
      <w:r>
        <w:t xml:space="preserve">5. Điều kiện và thủ tục</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550"/>
        <w:gridCol w:w="7088"/>
      </w:tblGrid>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Thẩm định</w:t>
            </w:r>
          </w:p>
        </w:tc>
        <w:tc>
          <w:tcPr>
            <w:tcW w:type="dxa" w:w="7088"/>
            <w:tcMar>
              <w:top w:type="dxa" w:w="80"/>
              <w:left w:type="dxa" w:w="120"/>
              <w:bottom w:type="dxa" w:w="80"/>
              <w:right w:type="dxa" w:w="120"/>
            </w:tcMar>
          </w:tcPr>
          <w:p>
            <w:pPr>
              <w:spacing w:after="80" w:line="276"/>
              <w:jc w:val="both"/>
            </w:pPr>
            <w:r>
              <w:rPr>
                <w:sz w:val="21"/>
                <w:szCs w:val="21"/>
              </w:rPr>
              <w:t xml:space="preserve">Nhà Đầu Tư được thẩm định pháp lý, tài chính và kinh doanh trong </w:t>
            </w:r>
            <w:r>
              <w:rPr>
                <w:sz w:val="21"/>
                <w:szCs w:val="21"/>
                <w:shd w:fill="FBE7DA" w:color="auto" w:val="clear"/>
              </w:rPr>
              <w:t xml:space="preserve">[30]</w:t>
            </w:r>
            <w:r>
              <w:rPr>
                <w:sz w:val="21"/>
                <w:szCs w:val="21"/>
              </w:rPr>
              <w:t xml:space="preserve"> ngày kể từ ngày ký. Công ty cung cấp tài liệu qua phòng dữ liệu.</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Điều kiện giải ngân</w:t>
            </w:r>
          </w:p>
        </w:tc>
        <w:tc>
          <w:tcPr>
            <w:tcW w:type="dxa" w:w="7088"/>
            <w:tcMar>
              <w:top w:type="dxa" w:w="80"/>
              <w:left w:type="dxa" w:w="120"/>
              <w:bottom w:type="dxa" w:w="80"/>
              <w:right w:type="dxa" w:w="120"/>
            </w:tcMar>
          </w:tcPr>
          <w:p>
            <w:pPr>
              <w:spacing w:after="80" w:line="276"/>
              <w:jc w:val="both"/>
            </w:pPr>
            <w:r>
              <w:rPr>
                <w:sz w:val="21"/>
                <w:szCs w:val="21"/>
              </w:rPr>
              <w:t xml:space="preserve">(a) Kết quả thẩm định không phát hiện vấn đề trọng yếu chưa được công bố; (b) các văn bản giao dịch được ký; (c) Công ty thông qua nghị quyết phát hành và sửa điều lệ; (d) hoàn thành thủ tục đăng ký đầu tư với cơ quan nhà nước nếu Nhà Đầu Tư thuộc diện phải làm; (e) các thoả thuận vesting và chuyển giao sở hữu trí tuệ của Người Sáng Lập đã được ký.</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Văn bản giao dịch</w:t>
            </w:r>
          </w:p>
        </w:tc>
        <w:tc>
          <w:tcPr>
            <w:tcW w:type="dxa" w:w="7088"/>
            <w:tcMar>
              <w:top w:type="dxa" w:w="80"/>
              <w:left w:type="dxa" w:w="120"/>
              <w:bottom w:type="dxa" w:w="80"/>
              <w:right w:type="dxa" w:w="120"/>
            </w:tcMar>
          </w:tcPr>
          <w:p>
            <w:pPr>
              <w:spacing w:after="80" w:line="276"/>
              <w:jc w:val="both"/>
            </w:pPr>
            <w:r>
              <w:rPr>
                <w:sz w:val="21"/>
                <w:szCs w:val="21"/>
              </w:rPr>
              <w:t xml:space="preserve">Hợp đồng đăng ký mua cổ phần, thoả thuận cổ đông, điều lệ sửa đổi, các nghị quyết liên quan. Bản thảo đầu tiên do </w:t>
            </w:r>
            <w:r>
              <w:rPr>
                <w:sz w:val="21"/>
                <w:szCs w:val="21"/>
                <w:shd w:fill="FBE7DA" w:color="auto" w:val="clear"/>
              </w:rPr>
              <w:t xml:space="preserve">[luật sư của Nhà Đầu Tư Dẫn Dắt]</w:t>
            </w:r>
            <w:r>
              <w:rPr>
                <w:sz w:val="21"/>
                <w:szCs w:val="21"/>
              </w:rPr>
              <w:t xml:space="preserve"> soạn.</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Cam đoan và bảo đảm</w:t>
            </w:r>
          </w:p>
        </w:tc>
        <w:tc>
          <w:tcPr>
            <w:tcW w:type="dxa" w:w="7088"/>
            <w:tcMar>
              <w:top w:type="dxa" w:w="80"/>
              <w:left w:type="dxa" w:w="120"/>
              <w:bottom w:type="dxa" w:w="80"/>
              <w:right w:type="dxa" w:w="120"/>
            </w:tcMar>
          </w:tcPr>
          <w:p>
            <w:pPr>
              <w:spacing w:after="80" w:line="276"/>
              <w:jc w:val="both"/>
            </w:pPr>
            <w:r>
              <w:rPr>
                <w:sz w:val="21"/>
                <w:szCs w:val="21"/>
              </w:rPr>
              <w:t xml:space="preserve">Theo thông lệ cho vòng đầu tư sớm, do Công ty đưa ra. Người Sáng Lập chỉ cam đoan về các vấn đề trong tầm hiểu biết của mình, với trần trách nhiệm không vượt quá </w:t>
            </w:r>
            <w:r>
              <w:rPr>
                <w:sz w:val="21"/>
                <w:szCs w:val="21"/>
                <w:shd w:fill="FBE7DA" w:color="auto" w:val="clear"/>
              </w:rPr>
              <w:t xml:space="preserve">[giá trị cổ phần của Người Sáng Lập tính theo Giá Gốc]</w:t>
            </w:r>
            <w:r>
              <w:rPr>
                <w:sz w:val="21"/>
                <w:szCs w:val="21"/>
              </w:rPr>
              <w:t xml:space="preserve">.</w:t>
            </w:r>
          </w:p>
          <w:p>
            <w:pPr>
              <w:spacing w:after="40" w:line="264"/>
            </w:pPr>
            <w:r>
              <w:rPr>
                <w:b/>
                <w:bCs/>
                <w:i/>
                <w:iCs/>
                <w:color w:val="D9692B"/>
                <w:sz w:val="19"/>
                <w:szCs w:val="19"/>
              </w:rPr>
              <w:t xml:space="preserve">Ghi chú: </w:t>
            </w:r>
            <w:r>
              <w:rPr>
                <w:i/>
                <w:iCs/>
                <w:color w:val="5B6577"/>
                <w:sz w:val="19"/>
                <w:szCs w:val="19"/>
              </w:rPr>
              <w:t xml:space="preserve">Lập thư công bố ngoại lệ để liệt kê trước các vấn đề đã biết.</w:t>
            </w:r>
          </w:p>
        </w:tc>
      </w:tr>
    </w:tbl>
    <w:p>
      <w:pPr>
        <w:spacing w:after="120"/>
      </w:pPr>
    </w:p>
    <w:p>
      <w:pPr>
        <w:pStyle w:val="Heading2"/>
        <w:keepNext/>
        <w:spacing w:after="100" w:before="200"/>
      </w:pPr>
      <w:r>
        <w:t xml:space="preserve">6. Điều khoản có hiệu lực ràng buộc</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550"/>
        <w:gridCol w:w="7088"/>
      </w:tblGrid>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Không tìm nhà đầu tư khác (no-shop)</w:t>
            </w:r>
          </w:p>
        </w:tc>
        <w:tc>
          <w:tcPr>
            <w:tcW w:type="dxa" w:w="7088"/>
            <w:tcMar>
              <w:top w:type="dxa" w:w="80"/>
              <w:left w:type="dxa" w:w="120"/>
              <w:bottom w:type="dxa" w:w="80"/>
              <w:right w:type="dxa" w:w="120"/>
            </w:tcMar>
          </w:tcPr>
          <w:p>
            <w:pPr>
              <w:spacing w:after="80" w:line="276"/>
              <w:jc w:val="both"/>
            </w:pPr>
            <w:r>
              <w:rPr>
                <w:sz w:val="21"/>
                <w:szCs w:val="21"/>
              </w:rPr>
              <w:t xml:space="preserve">Trong </w:t>
            </w:r>
            <w:r>
              <w:rPr>
                <w:sz w:val="21"/>
                <w:szCs w:val="21"/>
                <w:shd w:fill="FBE7DA" w:color="auto" w:val="clear"/>
              </w:rPr>
              <w:t xml:space="preserve">[45]</w:t>
            </w:r>
            <w:r>
              <w:rPr>
                <w:sz w:val="21"/>
                <w:szCs w:val="21"/>
              </w:rPr>
              <w:t xml:space="preserve"> ngày kể từ ngày ký, Công ty và Người Sáng Lập không chào bán, đàm phán hay chấp nhận đề nghị đầu tư từ bên khác, trừ việc mời nhà đầu tư cùng tham gia vòng này. Điều khoản tự chấm dứt nếu Nhà Đầu Tư Dẫn Dắt thông báo không tiếp tục hoặc đề nghị thay đổi bất lợi định giá.</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Bảo mật</w:t>
            </w:r>
          </w:p>
        </w:tc>
        <w:tc>
          <w:tcPr>
            <w:tcW w:type="dxa" w:w="7088"/>
            <w:tcMar>
              <w:top w:type="dxa" w:w="80"/>
              <w:left w:type="dxa" w:w="120"/>
              <w:bottom w:type="dxa" w:w="80"/>
              <w:right w:type="dxa" w:w="120"/>
            </w:tcMar>
          </w:tcPr>
          <w:p>
            <w:pPr>
              <w:spacing w:after="80" w:line="276"/>
              <w:jc w:val="both"/>
            </w:pPr>
            <w:r>
              <w:rPr>
                <w:sz w:val="21"/>
                <w:szCs w:val="21"/>
              </w:rPr>
              <w:t xml:space="preserve">Các bên giữ bí mật nội dung bản này và thông tin nhận được trong quá trình thẩm định, trừ khi cần công bố cho cố vấn hoặc theo yêu cầu của pháp luật.</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Chi phí</w:t>
            </w:r>
          </w:p>
        </w:tc>
        <w:tc>
          <w:tcPr>
            <w:tcW w:type="dxa" w:w="7088"/>
            <w:tcMar>
              <w:top w:type="dxa" w:w="80"/>
              <w:left w:type="dxa" w:w="120"/>
              <w:bottom w:type="dxa" w:w="80"/>
              <w:right w:type="dxa" w:w="120"/>
            </w:tcMar>
          </w:tcPr>
          <w:p>
            <w:pPr>
              <w:spacing w:after="80" w:line="276"/>
              <w:jc w:val="both"/>
            </w:pPr>
            <w:r>
              <w:rPr>
                <w:sz w:val="21"/>
                <w:szCs w:val="21"/>
              </w:rPr>
              <w:t xml:space="preserve">Khi đóng vòng, Công ty hoàn trả chi phí luật sư hợp lý của Nhà Đầu Tư Dẫn Dắt, tối đa </w:t>
            </w:r>
            <w:r>
              <w:rPr>
                <w:sz w:val="21"/>
                <w:szCs w:val="21"/>
                <w:shd w:fill="FBE7DA" w:color="auto" w:val="clear"/>
              </w:rPr>
              <w:t xml:space="preserve">[●]</w:t>
            </w:r>
            <w:r>
              <w:rPr>
                <w:sz w:val="21"/>
                <w:szCs w:val="21"/>
              </w:rPr>
              <w:t xml:space="preserve"> triệu đồng. Nếu thương vụ không thành, mỗi bên tự chịu chi phí của mình.</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Luật áp dụng</w:t>
            </w:r>
          </w:p>
        </w:tc>
        <w:tc>
          <w:tcPr>
            <w:tcW w:type="dxa" w:w="7088"/>
            <w:tcMar>
              <w:top w:type="dxa" w:w="80"/>
              <w:left w:type="dxa" w:w="120"/>
              <w:bottom w:type="dxa" w:w="80"/>
              <w:right w:type="dxa" w:w="120"/>
            </w:tcMar>
          </w:tcPr>
          <w:p>
            <w:pPr>
              <w:spacing w:after="80" w:line="276"/>
              <w:jc w:val="both"/>
            </w:pPr>
            <w:r>
              <w:rPr>
                <w:sz w:val="21"/>
                <w:szCs w:val="21"/>
              </w:rPr>
              <w:t xml:space="preserve">Pháp luật Việt Nam. Tranh chấp giải quyết tại </w:t>
            </w:r>
            <w:r>
              <w:rPr>
                <w:sz w:val="21"/>
                <w:szCs w:val="21"/>
                <w:shd w:fill="FBE7DA" w:color="auto" w:val="clear"/>
              </w:rPr>
              <w:t xml:space="preserve">[Trung tâm Trọng tài Quốc tế Việt Nam (VIAC)]</w:t>
            </w:r>
            <w:r>
              <w:rPr>
                <w:sz w:val="21"/>
                <w:szCs w:val="21"/>
              </w:rPr>
              <w:t xml:space="preserve">.</w:t>
            </w:r>
          </w:p>
        </w:tc>
      </w:tr>
      <w:tr>
        <w:trPr>
          <w:cantSplit w:val="false"/>
        </w:trPr>
        <w:tc>
          <w:tcPr>
            <w:tcW w:type="dxa" w:w="2550"/>
            <w:shd w:fill="EEF1F6" w:color="auto" w:val="clear"/>
            <w:tcMar>
              <w:top w:type="dxa" w:w="80"/>
              <w:left w:type="dxa" w:w="120"/>
              <w:bottom w:type="dxa" w:w="80"/>
              <w:right w:type="dxa" w:w="120"/>
            </w:tcMar>
          </w:tcPr>
          <w:p>
            <w:pPr>
              <w:spacing w:after="40"/>
            </w:pPr>
            <w:r>
              <w:rPr>
                <w:b/>
                <w:bCs/>
                <w:color w:val="1C2B4A"/>
                <w:sz w:val="21"/>
                <w:szCs w:val="21"/>
              </w:rPr>
              <w:t xml:space="preserve">Hiệu lực</w:t>
            </w:r>
          </w:p>
        </w:tc>
        <w:tc>
          <w:tcPr>
            <w:tcW w:type="dxa" w:w="7088"/>
            <w:tcMar>
              <w:top w:type="dxa" w:w="80"/>
              <w:left w:type="dxa" w:w="120"/>
              <w:bottom w:type="dxa" w:w="80"/>
              <w:right w:type="dxa" w:w="120"/>
            </w:tcMar>
          </w:tcPr>
          <w:p>
            <w:pPr>
              <w:spacing w:after="80" w:line="276"/>
              <w:jc w:val="both"/>
            </w:pPr>
            <w:r>
              <w:rPr>
                <w:sz w:val="21"/>
                <w:szCs w:val="21"/>
              </w:rPr>
              <w:t xml:space="preserve">Bản này hết hiệu lực nếu không được ký trước ngày </w:t>
            </w:r>
            <w:r>
              <w:rPr>
                <w:sz w:val="21"/>
                <w:szCs w:val="21"/>
                <w:shd w:fill="FBE7DA" w:color="auto" w:val="clear"/>
              </w:rPr>
              <w:t xml:space="preserve">[●]</w:t>
            </w:r>
            <w:r>
              <w:rPr>
                <w:sz w:val="21"/>
                <w:szCs w:val="21"/>
              </w:rPr>
              <w:t xml:space="preserve">. Các mục ràng buộc trong phần này có hiệu lực từ ngày ký tới khi ký văn bản giao dịch hoặc </w:t>
            </w:r>
            <w:r>
              <w:rPr>
                <w:sz w:val="21"/>
                <w:szCs w:val="21"/>
                <w:shd w:fill="FBE7DA" w:color="auto" w:val="clear"/>
              </w:rPr>
              <w:t xml:space="preserve">[60]</w:t>
            </w:r>
            <w:r>
              <w:rPr>
                <w:sz w:val="21"/>
                <w:szCs w:val="21"/>
              </w:rPr>
              <w:t xml:space="preserve"> ngày, tuỳ điều nào tới trước (riêng Bảo mật kéo dài </w:t>
            </w:r>
            <w:r>
              <w:rPr>
                <w:sz w:val="21"/>
                <w:szCs w:val="21"/>
                <w:shd w:fill="FBE7DA" w:color="auto" w:val="clear"/>
              </w:rPr>
              <w:t xml:space="preserve">[2]</w:t>
            </w:r>
            <w:r>
              <w:rPr>
                <w:sz w:val="21"/>
                <w:szCs w:val="21"/>
              </w:rPr>
              <w:t xml:space="preserve"> năm).</w:t>
            </w:r>
          </w:p>
        </w:tc>
      </w:tr>
    </w:tbl>
    <w:p>
      <w:pPr>
        <w:spacing w:after="12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Mar>
              <w:top w:type="dxa" w:w="80"/>
              <w:left w:type="dxa" w:w="120"/>
              <w:bottom w:type="dxa" w:w="80"/>
              <w:right w:type="dxa" w:w="120"/>
            </w:tcMar>
          </w:tcPr>
          <w:p>
            <w:pPr>
              <w:spacing w:after="40"/>
              <w:jc w:val="center"/>
            </w:pPr>
            <w:r>
              <w:rPr>
                <w:b/>
                <w:bCs/>
              </w:rPr>
              <w:t xml:space="preserve">CÔNG TY</w:t>
            </w:r>
          </w:p>
          <w:p>
            <w:pPr>
              <w:spacing w:after="1100"/>
              <w:jc w:val="center"/>
            </w:pPr>
            <w:r>
              <w:rPr>
                <w:i/>
                <w:iCs/>
                <w:color w:val="5B6577"/>
                <w:sz w:val="20"/>
                <w:szCs w:val="20"/>
              </w:rPr>
              <w:t xml:space="preserve">(Ký, ghi rõ họ tên, đóng dấu)</w:t>
            </w:r>
          </w:p>
          <w:p>
            <w:pPr>
              <w:spacing w:after="240"/>
              <w:jc w:val="center"/>
            </w:pPr>
            <w:r>
              <w:rPr>
                <w:shd w:fill="FBE7DA" w:color="auto" w:val="clear"/>
              </w:rPr>
              <w:t xml:space="preserve">[Họ tên người đại diện]</w:t>
            </w:r>
          </w:p>
        </w:tc>
        <w:tc>
          <w:tcPr>
            <w:tcW w:type="dxa" w:w="4819"/>
            <w:tcMar>
              <w:top w:type="dxa" w:w="80"/>
              <w:left w:type="dxa" w:w="120"/>
              <w:bottom w:type="dxa" w:w="80"/>
              <w:right w:type="dxa" w:w="120"/>
            </w:tcMar>
          </w:tcPr>
          <w:p>
            <w:pPr>
              <w:spacing w:after="40"/>
              <w:jc w:val="center"/>
            </w:pPr>
            <w:r>
              <w:rPr>
                <w:b/>
                <w:bCs/>
              </w:rPr>
              <w:t xml:space="preserve">NHÀ ĐẦU TƯ DẪN DẮT</w:t>
            </w:r>
          </w:p>
          <w:p>
            <w:pPr>
              <w:spacing w:after="1100"/>
              <w:jc w:val="center"/>
            </w:pPr>
            <w:r>
              <w:rPr>
                <w:i/>
                <w:iCs/>
                <w:color w:val="5B6577"/>
                <w:sz w:val="20"/>
                <w:szCs w:val="20"/>
              </w:rPr>
              <w:t xml:space="preserve">(Ký, ghi rõ họ tên)</w:t>
            </w:r>
          </w:p>
          <w:p>
            <w:pPr>
              <w:spacing w:after="240"/>
              <w:jc w:val="center"/>
            </w:pPr>
            <w:r>
              <w:rPr>
                <w:shd w:fill="FBE7DA" w:color="auto" w:val="clear"/>
              </w:rPr>
              <w:t xml:space="preserve">[Họ tên người đại diện]</w:t>
            </w:r>
          </w:p>
        </w:tc>
      </w:tr>
      <w:tr>
        <w:trPr>
          <w:cantSplit/>
        </w:trPr>
        <w:tc>
          <w:tcPr>
            <w:tcW w:type="dxa" w:w="4819"/>
            <w:tcMar>
              <w:top w:type="dxa" w:w="80"/>
              <w:left w:type="dxa" w:w="120"/>
              <w:bottom w:type="dxa" w:w="80"/>
              <w:right w:type="dxa" w:w="120"/>
            </w:tcMar>
          </w:tcPr>
          <w:p>
            <w:pPr>
              <w:spacing w:after="40"/>
              <w:jc w:val="center"/>
            </w:pPr>
            <w:r>
              <w:rPr>
                <w:b/>
                <w:bCs/>
              </w:rPr>
              <w:t xml:space="preserve">NGƯỜI SÁNG LẬP</w:t>
            </w:r>
          </w:p>
          <w:p>
            <w:pPr>
              <w:spacing w:after="1100"/>
              <w:jc w:val="center"/>
            </w:pPr>
            <w:r>
              <w:rPr>
                <w:i/>
                <w:iCs/>
                <w:color w:val="5B6577"/>
                <w:sz w:val="20"/>
                <w:szCs w:val="20"/>
              </w:rPr>
              <w:t xml:space="preserve">(Ký, ghi rõ họ tên)</w:t>
            </w:r>
          </w:p>
          <w:p>
            <w:pPr>
              <w:spacing w:after="240"/>
              <w:jc w:val="center"/>
            </w:pPr>
            <w:r>
              <w:rPr>
                <w:shd w:fill="FBE7DA" w:color="auto" w:val="clear"/>
              </w:rPr>
              <w:t xml:space="preserve">[Họ tên]</w:t>
            </w:r>
          </w:p>
        </w:tc>
        <w:tc>
          <w:tcPr>
            <w:tcW w:type="dxa" w:w="4819"/>
            <w:tcMar>
              <w:top w:type="dxa" w:w="80"/>
              <w:left w:type="dxa" w:w="120"/>
              <w:bottom w:type="dxa" w:w="80"/>
              <w:right w:type="dxa" w:w="120"/>
            </w:tcMar>
          </w:tcPr>
          <w:p>
            <w:pPr>
              <w:spacing w:after="40"/>
              <w:jc w:val="center"/>
            </w:pPr>
            <w:r>
              <w:rPr>
                <w:b/>
                <w:bCs/>
              </w:rPr>
              <w:t xml:space="preserve">NGƯỜI SÁNG LẬP</w:t>
            </w:r>
          </w:p>
          <w:p>
            <w:pPr>
              <w:spacing w:after="1100"/>
              <w:jc w:val="center"/>
            </w:pPr>
            <w:r>
              <w:rPr>
                <w:i/>
                <w:iCs/>
                <w:color w:val="5B6577"/>
                <w:sz w:val="20"/>
                <w:szCs w:val="20"/>
              </w:rPr>
              <w:t xml:space="preserve">(Ký, ghi rõ họ tên)</w:t>
            </w:r>
          </w:p>
          <w:p>
            <w:pPr>
              <w:spacing w:after="240"/>
              <w:jc w:val="center"/>
            </w:pPr>
            <w:r>
              <w:rPr>
                <w:shd w:fill="FBE7DA" w:color="auto" w:val="clear"/>
              </w:rPr>
              <w:t xml:space="preserve">[Họ tên]</w:t>
            </w:r>
          </w:p>
        </w:tc>
      </w:tr>
    </w:tbl>
    <w:p>
      <w:r>
        <w:br w:type="page"/>
      </w:r>
    </w:p>
    <w:p>
      <w:pPr>
        <w:pStyle w:val="Heading1"/>
        <w:keepNext/>
        <w:spacing w:after="120" w:before="280"/>
      </w:pPr>
      <w:r>
        <w:t xml:space="preserve">Phụ lục. Bảng cổ phần dự kiến và kế hoạch sử dụng vốn</w:t>
      </w: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2600"/>
        <w:gridCol w:w="1800"/>
        <w:gridCol w:w="1500"/>
        <w:gridCol w:w="1938"/>
        <w:gridCol w:w="1800"/>
      </w:tblGrid>
      <w:tr>
        <w:trPr>
          <w:tblHeader/>
        </w:trPr>
        <w:tc>
          <w:tcPr>
            <w:tcW w:type="dxa" w:w="26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Cổ đông</w:t>
            </w:r>
          </w:p>
        </w:tc>
        <w:tc>
          <w:tcPr>
            <w:tcW w:type="dxa" w:w="18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Trước vòng (cổ phần)</w:t>
            </w:r>
          </w:p>
        </w:tc>
        <w:tc>
          <w:tcPr>
            <w:tcW w:type="dxa" w:w="15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Trước vòng (%)</w:t>
            </w:r>
          </w:p>
        </w:tc>
        <w:tc>
          <w:tcPr>
            <w:tcW w:type="dxa" w:w="1938"/>
            <w:shd w:fill="1C2B4A" w:color="auto" w:val="clear"/>
            <w:tcMar>
              <w:top w:type="dxa" w:w="80"/>
              <w:left w:type="dxa" w:w="120"/>
              <w:bottom w:type="dxa" w:w="80"/>
              <w:right w:type="dxa" w:w="120"/>
            </w:tcMar>
          </w:tcPr>
          <w:p>
            <w:pPr>
              <w:spacing w:after="40" w:line="264"/>
              <w:jc w:val="left"/>
            </w:pPr>
            <w:r>
              <w:rPr>
                <w:b/>
                <w:bCs/>
                <w:color w:val="FFFFFF"/>
                <w:sz w:val="20"/>
                <w:szCs w:val="20"/>
              </w:rPr>
              <w:t xml:space="preserve">Sau vòng (cổ phần)</w:t>
            </w:r>
          </w:p>
        </w:tc>
        <w:tc>
          <w:tcPr>
            <w:tcW w:type="dxa" w:w="18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Sau vòng (%)</w:t>
            </w:r>
          </w:p>
        </w:tc>
      </w:tr>
      <w:tr>
        <w:trPr>
          <w:cantSplit/>
        </w:trPr>
        <w:tc>
          <w:tcPr>
            <w:tcW w:type="dxa" w:w="26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Người Sáng Lập </w:t>
            </w: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5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r>
      <w:tr>
        <w:trPr>
          <w:cantSplit/>
        </w:trPr>
        <w:tc>
          <w:tcPr>
            <w:tcW w:type="dxa" w:w="26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Người Sáng Lập </w:t>
            </w: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5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r>
      <w:tr>
        <w:trPr>
          <w:cantSplit/>
        </w:trPr>
        <w:tc>
          <w:tcPr>
            <w:tcW w:type="dxa" w:w="26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SAFE / nhà đầu tư thiên thần</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5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r>
      <w:tr>
        <w:trPr>
          <w:cantSplit/>
        </w:trPr>
        <w:tc>
          <w:tcPr>
            <w:tcW w:type="dxa" w:w="26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Quỹ ESOP</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5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r>
      <w:tr>
        <w:trPr>
          <w:cantSplit/>
        </w:trPr>
        <w:tc>
          <w:tcPr>
            <w:tcW w:type="dxa" w:w="26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Nhà Đầu Tư vòng này</w:t>
            </w:r>
          </w:p>
        </w:tc>
        <w:tc>
          <w:tcPr>
            <w:tcW w:type="dxa" w:w="1800"/>
            <w:tcMar>
              <w:top w:type="dxa" w:w="80"/>
              <w:left w:type="dxa" w:w="120"/>
              <w:bottom w:type="dxa" w:w="80"/>
              <w:right w:type="dxa" w:w="120"/>
            </w:tcMar>
          </w:tcPr>
          <w:p>
            <w:pPr>
              <w:spacing w:after="40" w:line="264"/>
              <w:jc w:val="left"/>
            </w:pPr>
            <w:r>
              <w:rPr>
                <w:b w:val="false"/>
                <w:bCs w:val="false"/>
                <w:sz w:val="20"/>
                <w:szCs w:val="20"/>
              </w:rPr>
              <w:t xml:space="preserve">0</w:t>
            </w:r>
          </w:p>
        </w:tc>
        <w:tc>
          <w:tcPr>
            <w:tcW w:type="dxa" w:w="1500"/>
            <w:tcMar>
              <w:top w:type="dxa" w:w="80"/>
              <w:left w:type="dxa" w:w="120"/>
              <w:bottom w:type="dxa" w:w="80"/>
              <w:right w:type="dxa" w:w="120"/>
            </w:tcMar>
          </w:tcPr>
          <w:p>
            <w:pPr>
              <w:spacing w:after="40" w:line="264"/>
              <w:jc w:val="left"/>
            </w:pPr>
            <w:r>
              <w:rPr>
                <w:b w:val="false"/>
                <w:bCs w:val="false"/>
                <w:sz w:val="20"/>
                <w:szCs w:val="20"/>
              </w:rPr>
              <w:t xml:space="preserve">0%</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r>
      <w:tr>
        <w:trPr>
          <w:cantSplit/>
        </w:trPr>
        <w:tc>
          <w:tcPr>
            <w:tcW w:type="dxa" w:w="2600"/>
            <w:shd w:fill="EEF1F6" w:color="auto" w:val="clear"/>
            <w:tcMar>
              <w:top w:type="dxa" w:w="80"/>
              <w:left w:type="dxa" w:w="120"/>
              <w:bottom w:type="dxa" w:w="80"/>
              <w:right w:type="dxa" w:w="120"/>
            </w:tcMar>
          </w:tcPr>
          <w:p>
            <w:pPr>
              <w:spacing w:after="40" w:line="264"/>
              <w:jc w:val="left"/>
            </w:pPr>
            <w:r>
              <w:rPr>
                <w:b/>
                <w:bCs/>
                <w:sz w:val="20"/>
                <w:szCs w:val="20"/>
              </w:rPr>
              <w:t xml:space="preserve">Tổng</w:t>
            </w:r>
          </w:p>
        </w:tc>
        <w:tc>
          <w:tcPr>
            <w:tcW w:type="dxa" w:w="18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500"/>
            <w:tcMar>
              <w:top w:type="dxa" w:w="80"/>
              <w:left w:type="dxa" w:w="120"/>
              <w:bottom w:type="dxa" w:w="80"/>
              <w:right w:type="dxa" w:w="120"/>
            </w:tcMar>
          </w:tcPr>
          <w:p>
            <w:pPr>
              <w:spacing w:after="40" w:line="264"/>
              <w:jc w:val="left"/>
            </w:pPr>
            <w:r>
              <w:rPr>
                <w:b w:val="false"/>
                <w:bCs w:val="false"/>
                <w:sz w:val="20"/>
                <w:szCs w:val="20"/>
              </w:rPr>
              <w:t xml:space="preserve">100%</w:t>
            </w:r>
          </w:p>
        </w:tc>
        <w:tc>
          <w:tcPr>
            <w:tcW w:type="dxa" w:w="19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800"/>
            <w:tcMar>
              <w:top w:type="dxa" w:w="80"/>
              <w:left w:type="dxa" w:w="120"/>
              <w:bottom w:type="dxa" w:w="80"/>
              <w:right w:type="dxa" w:w="120"/>
            </w:tcMar>
          </w:tcPr>
          <w:p>
            <w:pPr>
              <w:spacing w:after="40" w:line="264"/>
              <w:jc w:val="left"/>
            </w:pPr>
            <w:r>
              <w:rPr>
                <w:b w:val="false"/>
                <w:bCs w:val="false"/>
                <w:sz w:val="20"/>
                <w:szCs w:val="20"/>
              </w:rPr>
              <w:t xml:space="preserve">100%</w:t>
            </w:r>
          </w:p>
        </w:tc>
      </w:tr>
    </w:tbl>
    <w:p>
      <w:pPr>
        <w:spacing w:after="120"/>
      </w:pPr>
    </w:p>
    <w:tbl>
      <w:tblPr>
        <w:tblW w:type="dxa" w:w="9638"/>
        <w:tblBorders>
          <w:top w:val="single" w:color="C9CFDA" w:sz="4"/>
          <w:left w:val="single" w:color="C9CFDA" w:sz="4"/>
          <w:bottom w:val="single" w:color="C9CFDA" w:sz="4"/>
          <w:right w:val="single" w:color="C9CFDA" w:sz="4"/>
          <w:insideH w:val="single" w:color="C9CFDA" w:sz="4"/>
          <w:insideV w:val="single" w:color="C9CFDA" w:sz="4"/>
        </w:tblBorders>
      </w:tblPr>
      <w:tblGrid>
        <w:gridCol w:w="3000"/>
        <w:gridCol w:w="1900"/>
        <w:gridCol w:w="1300"/>
        <w:gridCol w:w="3438"/>
      </w:tblGrid>
      <w:tr>
        <w:trPr>
          <w:tblHeader/>
        </w:trPr>
        <w:tc>
          <w:tcPr>
            <w:tcW w:type="dxa" w:w="30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Hạng mục sử dụng vốn</w:t>
            </w:r>
          </w:p>
        </w:tc>
        <w:tc>
          <w:tcPr>
            <w:tcW w:type="dxa" w:w="19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Số tiền (tỷ đồng)</w:t>
            </w:r>
          </w:p>
        </w:tc>
        <w:tc>
          <w:tcPr>
            <w:tcW w:type="dxa" w:w="1300"/>
            <w:shd w:fill="1C2B4A" w:color="auto" w:val="clear"/>
            <w:tcMar>
              <w:top w:type="dxa" w:w="80"/>
              <w:left w:type="dxa" w:w="120"/>
              <w:bottom w:type="dxa" w:w="80"/>
              <w:right w:type="dxa" w:w="120"/>
            </w:tcMar>
          </w:tcPr>
          <w:p>
            <w:pPr>
              <w:spacing w:after="40" w:line="264"/>
              <w:jc w:val="left"/>
            </w:pPr>
            <w:r>
              <w:rPr>
                <w:b/>
                <w:bCs/>
                <w:color w:val="FFFFFF"/>
                <w:sz w:val="20"/>
                <w:szCs w:val="20"/>
              </w:rPr>
              <w:t xml:space="preserve">Tỷ lệ</w:t>
            </w:r>
          </w:p>
        </w:tc>
        <w:tc>
          <w:tcPr>
            <w:tcW w:type="dxa" w:w="3438"/>
            <w:shd w:fill="1C2B4A" w:color="auto" w:val="clear"/>
            <w:tcMar>
              <w:top w:type="dxa" w:w="80"/>
              <w:left w:type="dxa" w:w="120"/>
              <w:bottom w:type="dxa" w:w="80"/>
              <w:right w:type="dxa" w:w="120"/>
            </w:tcMar>
          </w:tcPr>
          <w:p>
            <w:pPr>
              <w:spacing w:after="40" w:line="264"/>
              <w:jc w:val="left"/>
            </w:pPr>
            <w:r>
              <w:rPr>
                <w:b/>
                <w:bCs/>
                <w:color w:val="FFFFFF"/>
                <w:sz w:val="20"/>
                <w:szCs w:val="20"/>
              </w:rPr>
              <w:t xml:space="preserve">Mốc cần đạt</w:t>
            </w:r>
          </w:p>
        </w:tc>
      </w:tr>
      <w:tr>
        <w:trPr>
          <w:cantSplit/>
        </w:trPr>
        <w:tc>
          <w:tcPr>
            <w:tcW w:type="dxa" w:w="30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Phát triển sản phẩm</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3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34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r>
      <w:tr>
        <w:trPr>
          <w:cantSplit/>
        </w:trPr>
        <w:tc>
          <w:tcPr>
            <w:tcW w:type="dxa" w:w="30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Tuyển dụng</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3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34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r>
      <w:tr>
        <w:trPr>
          <w:cantSplit/>
        </w:trPr>
        <w:tc>
          <w:tcPr>
            <w:tcW w:type="dxa" w:w="30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Bán hàng và marketing</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3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34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r>
      <w:tr>
        <w:trPr>
          <w:cantSplit/>
        </w:trPr>
        <w:tc>
          <w:tcPr>
            <w:tcW w:type="dxa" w:w="3000"/>
            <w:shd w:fill="EEF1F6" w:color="auto" w:val="clear"/>
            <w:tcMar>
              <w:top w:type="dxa" w:w="80"/>
              <w:left w:type="dxa" w:w="120"/>
              <w:bottom w:type="dxa" w:w="80"/>
              <w:right w:type="dxa" w:w="120"/>
            </w:tcMar>
          </w:tcPr>
          <w:p>
            <w:pPr>
              <w:spacing w:after="40" w:line="264"/>
              <w:jc w:val="left"/>
            </w:pPr>
            <w:r>
              <w:rPr>
                <w:b w:val="false"/>
                <w:bCs w:val="false"/>
                <w:sz w:val="20"/>
                <w:szCs w:val="20"/>
              </w:rPr>
              <w:t xml:space="preserve">Vận hành và dự phòng</w:t>
            </w:r>
          </w:p>
        </w:tc>
        <w:tc>
          <w:tcPr>
            <w:tcW w:type="dxa" w:w="19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c>
          <w:tcPr>
            <w:tcW w:type="dxa" w:w="1300"/>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r>
              <w:rPr>
                <w:b w:val="false"/>
                <w:bCs w:val="false"/>
                <w:sz w:val="20"/>
                <w:szCs w:val="20"/>
              </w:rPr>
              <w:t xml:space="preserve">%</w:t>
            </w:r>
          </w:p>
        </w:tc>
        <w:tc>
          <w:tcPr>
            <w:tcW w:type="dxa" w:w="3438"/>
            <w:tcMar>
              <w:top w:type="dxa" w:w="80"/>
              <w:left w:type="dxa" w:w="120"/>
              <w:bottom w:type="dxa" w:w="80"/>
              <w:right w:type="dxa" w:w="120"/>
            </w:tcMar>
          </w:tcPr>
          <w:p>
            <w:pPr>
              <w:spacing w:after="40" w:line="264"/>
              <w:jc w:val="left"/>
            </w:pPr>
            <w:r>
              <w:rPr>
                <w:b w:val="false"/>
                <w:bCs w:val="false"/>
                <w:sz w:val="20"/>
                <w:szCs w:val="20"/>
                <w:shd w:fill="FBE7DA" w:color="auto" w:val="clear"/>
              </w:rPr>
              <w:t xml:space="preserve">[●]</w:t>
            </w:r>
          </w:p>
        </w:tc>
      </w:tr>
    </w:tbl>
    <w:p>
      <w:pPr>
        <w:spacing w:after="120"/>
      </w:pPr>
    </w:p>
    <w:p>
      <w:pPr>
        <w:spacing w:after="120" w:line="288"/>
        <w:jc w:val="both"/>
      </w:pPr>
      <w:r>
        <w:t xml:space="preserve">Dựng bảng cổ phần sau vòng bằng công cụ "Bảng cổ phần và pha loãng" trên fundraising.vn để kiểm tra con số trước khi điền.</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577"/>
        <w:sz w:val="16"/>
        <w:szCs w:val="16"/>
      </w:rPr>
      <w:t xml:space="preserve">Mẫu term sheet vòng seed, fundraising.vn, bản 1.0 (10/2026)   |   </w:t>
    </w:r>
    <w:r>
      <w:rPr>
        <w:color w:val="5B6577"/>
        <w:sz w:val="16"/>
        <w:szCs w:val="16"/>
      </w:rPr>
      <w:fldChar w:fldCharType="begin"/>
      <w:instrText xml:space="preserve">PAGE</w:instrText>
      <w:fldChar w:fldCharType="separate"/>
      <w:fldChar w:fldCharType="end"/>
    </w:r>
    <w:r>
      <w:rPr>
        <w:color w:val="5B6577"/>
        <w:sz w:val="16"/>
        <w:szCs w:val="16"/>
      </w:rPr>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1C2B4A"/>
      <w:sz w:val="26"/>
      <w:szCs w:val="26"/>
    </w:rPr>
  </w:style>
  <w:style w:type="paragraph" w:styleId="Heading2">
    <w:name w:val="Heading 2"/>
    <w:basedOn w:val="Normal"/>
    <w:next w:val="Normal"/>
    <w:qFormat/>
    <w:pPr>
      <w:outlineLvl w:val="1"/>
    </w:pPr>
    <w:rPr>
      <w:rFonts w:ascii="Times New Roman" w:cs="Times New Roman" w:eastAsia="Times New Roman" w:hAnsi="Times New Roman"/>
      <w:b/>
      <w:bCs/>
      <w:color w:val="1C2B4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term sheet vòng seed, fundraising.vn, bản 1.0 (10/2026)</dc:title>
  <dc:creator>fundraising.vn</dc:creator>
  <cp:lastModifiedBy>Un-named</cp:lastModifiedBy>
  <cp:revision>1</cp:revision>
  <dcterms:created xsi:type="dcterms:W3CDTF">2026-10-19T09:23:42.825Z</dcterms:created>
  <dcterms:modified xsi:type="dcterms:W3CDTF">2026-10-19T09:23:42.825Z</dcterms:modified>
</cp:coreProperties>
</file>

<file path=docProps/custom.xml><?xml version="1.0" encoding="utf-8"?>
<Properties xmlns="http://schemas.openxmlformats.org/officeDocument/2006/custom-properties" xmlns:vt="http://schemas.openxmlformats.org/officeDocument/2006/docPropsVTypes"/>
</file>