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9692B"/>
          <w:spacing w:val="20"/>
          <w:sz w:val="18"/>
          <w:szCs w:val="18"/>
        </w:rPr>
        <w:t xml:space="preserve">REFERENCE TEMPLATE BY FUNDRAISING.VN</w:t>
      </w:r>
    </w:p>
    <w:p>
      <w:pPr>
        <w:spacing w:after="80"/>
        <w:jc w:val="center"/>
      </w:pPr>
      <w:r>
        <w:rPr>
          <w:b/>
          <w:bCs/>
          <w:color w:val="1C2B4A"/>
          <w:sz w:val="32"/>
          <w:szCs w:val="32"/>
        </w:rPr>
        <w:t xml:space="preserve">PRE-SEED AND SEED TERM SHEET TEMPLATE</w:t>
      </w:r>
    </w:p>
    <w:p>
      <w:pPr>
        <w:spacing w:after="240"/>
        <w:jc w:val="center"/>
      </w:pPr>
      <w:r>
        <w:rPr>
          <w:color w:val="5B6577"/>
          <w:sz w:val="22"/>
          <w:szCs w:val="22"/>
        </w:rPr>
        <w:t xml:space="preserve">Preferred share investment in a Vietnamese joint stock company, balanced market-standard terms</w:t>
      </w:r>
    </w:p>
    <w:tbl>
      <w:tblPr>
        <w:tblW w:type="dxa" w:w="9638"/>
        <w:tblBorders>
          <w:top w:val="single" w:color="D9692B" w:sz="12"/>
          <w:left w:val="single" w:color="C9CFDA" w:sz="4"/>
          <w:bottom w:val="single" w:color="C9CFDA" w:sz="4"/>
          <w:right w:val="single" w:color="C9CFDA" w:sz="4"/>
          <w:insideH w:val="single" w:color="auto" w:sz="4"/>
          <w:insideV w:val="single" w:color="auto" w:sz="4"/>
        </w:tblBorders>
      </w:tblPr>
      <w:tblGrid>
        <w:gridCol w:w="9638"/>
      </w:tblGrid>
      <w:tr>
        <w:tc>
          <w:tcPr>
            <w:tcW w:type="dxa" w:w="9638"/>
            <w:shd w:fill="FFF8F3" w:color="auto" w:val="clear"/>
            <w:tcMar>
              <w:top w:type="dxa" w:w="80"/>
              <w:left w:type="dxa" w:w="120"/>
              <w:bottom w:type="dxa" w:w="80"/>
              <w:right w:type="dxa" w:w="120"/>
            </w:tcMar>
          </w:tcPr>
          <w:p>
            <w:pPr>
              <w:spacing w:after="60" w:line="264"/>
            </w:pPr>
            <w:r>
              <w:rPr>
                <w:b/>
                <w:bCs/>
                <w:sz w:val="20"/>
                <w:szCs w:val="20"/>
              </w:rPr>
              <w:t xml:space="preserve">Read before use</w:t>
            </w:r>
          </w:p>
          <w:p>
            <w:pPr>
              <w:spacing w:after="60" w:line="264"/>
            </w:pPr>
            <w:r>
              <w:rPr>
                <w:b w:val="false"/>
                <w:bCs w:val="false"/>
                <w:sz w:val="20"/>
                <w:szCs w:val="20"/>
              </w:rPr>
              <w:t xml:space="preserve">A term sheet summarises the key terms of an investment and is signed before the parties draft the share subscription agreement, shareholders agreement and charter amendments. Most of it is not legally binding, but almost every number in it goes straight into the final documents.</w:t>
            </w:r>
          </w:p>
          <w:p>
            <w:pPr>
              <w:spacing w:after="60" w:line="264"/>
            </w:pPr>
            <w:r>
              <w:rPr>
                <w:b w:val="false"/>
                <w:bCs w:val="false"/>
                <w:sz w:val="20"/>
                <w:szCs w:val="20"/>
              </w:rPr>
              <w:t xml:space="preserve">This template is balanced, close to well-known international early-stage templates, and adapted for Vietnamese joint stock companies. Orange-shaded fields must be filled in or chosen; "Note" lines explain the choices and should be deleted before sending.</w:t>
            </w:r>
          </w:p>
          <w:p>
            <w:pPr>
              <w:spacing w:after="60" w:line="264"/>
            </w:pPr>
            <w:r>
              <w:rPr>
                <w:b w:val="false"/>
                <w:bCs w:val="false"/>
                <w:sz w:val="20"/>
                <w:szCs w:val="20"/>
              </w:rPr>
              <w:t xml:space="preserve">This is not legal advice. Not every term can be written verbatim into a Vietnamese JSC charter; work with a lawyer experienced in venture deals before signing.</w:t>
            </w:r>
          </w:p>
        </w:tc>
      </w:tr>
    </w:tbl>
    <w:p>
      <w:pPr>
        <w:spacing w:after="160"/>
      </w:pPr>
    </w:p>
    <w:p>
      <w:pPr>
        <w:pStyle w:val="Heading1"/>
        <w:keepNext/>
        <w:spacing w:after="120" w:before="280"/>
      </w:pPr>
      <w:r>
        <w:t xml:space="preserve">Part A. How to use this template</w:t>
      </w:r>
    </w:p>
    <w:p>
      <w:pPr>
        <w:pStyle w:val="Heading2"/>
        <w:keepNext/>
        <w:spacing w:after="100" w:before="200"/>
      </w:pPr>
      <w:r>
        <w:t xml:space="preserve">Ten terms that decide what founders actually get</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00"/>
        <w:gridCol w:w="3700"/>
        <w:gridCol w:w="3438"/>
      </w:tblGrid>
      <w:tr>
        <w:trPr>
          <w:tblHeader/>
        </w:trPr>
        <w:tc>
          <w:tcPr>
            <w:tcW w:type="dxa" w:w="25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Term</w:t>
            </w:r>
          </w:p>
        </w:tc>
        <w:tc>
          <w:tcPr>
            <w:tcW w:type="dxa" w:w="37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Market standard (used here)</w:t>
            </w:r>
          </w:p>
        </w:tc>
        <w:tc>
          <w:tcPr>
            <w:tcW w:type="dxa" w:w="34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Red flag, ask again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Liquidation preference</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1x, non-participating</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2x or more, or uncapped participating</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Anti-dilution</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Broad-based weighted average</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Full ratchet</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ESOP pool</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10% to 15% post-money, enough for 18 months of hiring</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Above 20%, or created pre-money without a hiring plan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Board</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Founders hold the majority</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Investors control the board from seed</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Protective provisions</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Short list, only matters affecting investor rights</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Vetoes over budget, hiring, routine spending</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Dividends</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Non-cumulative, when declared</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Cumulative dividends of 8% or more</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Redemption</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None</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Company or founders must buy back after 5 years</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Founder vesting</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4 years, 1-year cliff, credit for time served</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Restart from zero, no credit</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No-shop</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30 to 45 days, ends if the investor walks away</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90 days or more</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Expenses</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Company pays investor legal fees, capped</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No cap, or payable even if the deal fails</w:t>
            </w:r>
          </w:p>
        </w:tc>
      </w:tr>
    </w:tbl>
    <w:p>
      <w:pPr>
        <w:spacing w:after="120"/>
      </w:pPr>
    </w:p>
    <w:p>
      <w:pPr>
        <w:spacing w:after="120" w:line="288"/>
        <w:jc w:val="both"/>
      </w:pPr>
      <w:r>
        <w:t xml:space="preserve">To compare several term sheets in numbers (effective valuation after ESOP, founder proceeds at different exit prices), use the "Term sheet comparison" Excel template and the "Read a term sheet in numbers" tool on fundraising.vn.</w:t>
      </w:r>
    </w:p>
    <w:p>
      <w:pPr>
        <w:pStyle w:val="Heading2"/>
        <w:keepNext/>
        <w:spacing w:after="100" w:before="200"/>
      </w:pPr>
      <w:r>
        <w:t xml:space="preserve">Four Vietnam-specific points</w:t>
      </w:r>
    </w:p>
    <w:p>
      <w:pPr>
        <w:pStyle w:val="ListParagraph"/>
        <w:numPr>
          <w:ilvl w:val="0"/>
          <w:numId w:val="2"/>
        </w:numPr>
        <w:spacing w:after="80" w:line="276"/>
        <w:jc w:val="both"/>
      </w:pPr>
      <w:r>
        <w:t xml:space="preserve">The Law on Enterprises 2020 allows dividend preference shares, redeemable preference shares and other preference shares as provided in the charter. Investor rights are therefore usually set out in the charter plus a shareholders agreement, not only in the share class name. Voting preference shares are reserved for founding shareholders and organisations authorised by the Government.</w:t>
      </w:r>
    </w:p>
    <w:p>
      <w:pPr>
        <w:pStyle w:val="ListParagraph"/>
        <w:numPr>
          <w:ilvl w:val="0"/>
          <w:numId w:val="2"/>
        </w:numPr>
        <w:spacing w:after="80" w:line="276"/>
        <w:jc w:val="both"/>
      </w:pPr>
      <w:r>
        <w:t xml:space="preserve">Foreign investors may need to register the capital contribution or share purchase with the investment registration authority and open an investment capital account under foreign exchange rules before funding. Build this time into the closing schedule.</w:t>
      </w:r>
    </w:p>
    <w:p>
      <w:pPr>
        <w:pStyle w:val="ListParagraph"/>
        <w:numPr>
          <w:ilvl w:val="0"/>
          <w:numId w:val="2"/>
        </w:numPr>
        <w:spacing w:after="80" w:line="276"/>
        <w:jc w:val="both"/>
      </w:pPr>
      <w:r>
        <w:t xml:space="preserve">Many foreign funds invest only through an offshore holding company, most often in Singapore. In that case the term sheet follows the law of the holding company's jurisdiction.</w:t>
      </w:r>
    </w:p>
    <w:p>
      <w:pPr>
        <w:pStyle w:val="ListParagraph"/>
        <w:numPr>
          <w:ilvl w:val="0"/>
          <w:numId w:val="2"/>
        </w:numPr>
        <w:spacing w:after="80" w:line="276"/>
        <w:jc w:val="both"/>
      </w:pPr>
      <w:r>
        <w:t xml:space="preserve">Some terms, such as anti-dilution and liquidation preference, are hard to enforce directly under Vietnamese corporate law and are usually backed by contractual undertakings between shareholders. Ask your lawyer how to draft them.</w:t>
      </w:r>
    </w:p>
    <w:p>
      <w:r>
        <w:br w:type="page"/>
      </w:r>
    </w:p>
    <w:p>
      <w:pPr>
        <w:pStyle w:val="Heading1"/>
        <w:keepNext/>
        <w:spacing w:after="120" w:before="280"/>
      </w:pPr>
      <w:r>
        <w:t xml:space="preserve">Part B. Term sheet template</w:t>
      </w:r>
    </w:p>
    <w:p>
      <w:pPr>
        <w:spacing w:after="120" w:line="288"/>
        <w:jc w:val="center"/>
      </w:pPr>
      <w:r>
        <w:rPr>
          <w:b/>
          <w:bCs/>
          <w:color w:val="1C2B4A"/>
          <w:sz w:val="28"/>
          <w:szCs w:val="28"/>
        </w:rPr>
        <w:t xml:space="preserve">SUMMARY OF TERMS (TERM SHEET)</w:t>
      </w:r>
    </w:p>
    <w:p>
      <w:pPr>
        <w:spacing w:after="120" w:line="288"/>
        <w:jc w:val="center"/>
      </w:pPr>
      <w:r>
        <w:rPr>
          <w:b/>
          <w:bCs/>
          <w:shd w:fill="FBE7DA" w:color="auto" w:val="clear"/>
        </w:rPr>
        <w:t xml:space="preserve">[Seed]</w:t>
      </w:r>
      <w:r>
        <w:rPr>
          <w:b/>
          <w:bCs/>
        </w:rPr>
        <w:t xml:space="preserve"> round of </w:t>
      </w:r>
      <w:r>
        <w:rPr>
          <w:b/>
          <w:bCs/>
          <w:shd w:fill="FBE7DA" w:color="auto" w:val="clear"/>
        </w:rPr>
        <w:t xml:space="preserve">[Company name]</w:t>
      </w:r>
      <w:r>
        <w:rPr>
          <w:b/>
          <w:bCs/>
        </w:rPr>
        <w:t xml:space="preserve"> Joint Stock Company</w:t>
      </w:r>
    </w:p>
    <w:p>
      <w:pPr>
        <w:spacing w:after="120" w:line="288"/>
        <w:jc w:val="center"/>
      </w:pPr>
      <w:r>
        <w:rPr>
          <w:i/>
          <w:iCs/>
        </w:rPr>
        <w:t xml:space="preserve">Date: </w:t>
      </w:r>
      <w:r>
        <w:rPr>
          <w:i/>
          <w:iCs/>
          <w:shd w:fill="FBE7DA" w:color="auto" w:val="clear"/>
        </w:rPr>
        <w:t xml:space="preserve">[●]</w:t>
      </w:r>
    </w:p>
    <w:p>
      <w:pPr>
        <w:spacing w:after="120" w:line="288"/>
        <w:jc w:val="both"/>
      </w:pPr>
      <w:r>
        <w:t xml:space="preserve">This term sheet summarises the principal terms of the proposed investment. Except for the provisions stated to be binding in section 6, it creates no legal obligation for any party until definitive transaction documents are signed.</w:t>
      </w:r>
    </w:p>
    <w:p>
      <w:pPr>
        <w:pStyle w:val="Heading2"/>
        <w:keepNext/>
        <w:spacing w:after="100" w:before="200"/>
      </w:pPr>
      <w:r>
        <w:t xml:space="preserve">1. The deal</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Company</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[Company name]</w:t>
            </w:r>
            <w:r>
              <w:rPr>
                <w:sz w:val="21"/>
                <w:szCs w:val="21"/>
              </w:rPr>
              <w:t xml:space="preserve"> Joint Stock Company, enterprise code </w:t>
            </w:r>
            <w:r>
              <w:rPr>
                <w:sz w:val="21"/>
                <w:szCs w:val="21"/>
                <w:shd w:fill="FBE7DA" w:color="auto" w:val="clear"/>
              </w:rPr>
              <w:t xml:space="preserve">[●]</w:t>
            </w:r>
            <w:r>
              <w:rPr>
                <w:sz w:val="21"/>
                <w:szCs w:val="21"/>
              </w:rPr>
              <w:t xml:space="preserve"> (the "Company").</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Investors</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[Lead investor name]</w:t>
            </w:r>
            <w:r>
              <w:rPr>
                <w:sz w:val="21"/>
                <w:szCs w:val="21"/>
              </w:rPr>
              <w:t xml:space="preserve"> (the "Lead Investor") and other investors approved by the Lead Investor and the Company (together, the "Investors").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Founders</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[Name]</w:t>
            </w:r>
            <w:r>
              <w:rPr>
                <w:sz w:val="21"/>
                <w:szCs w:val="21"/>
              </w:rPr>
              <w:t xml:space="preserve">, </w:t>
            </w:r>
            <w:r>
              <w:rPr>
                <w:sz w:val="21"/>
                <w:szCs w:val="21"/>
                <w:shd w:fill="FBE7DA" w:color="auto" w:val="clear"/>
              </w:rPr>
              <w:t xml:space="preserve">[Name]</w:t>
            </w:r>
            <w:r>
              <w:rPr>
                <w:sz w:val="21"/>
                <w:szCs w:val="21"/>
              </w:rPr>
              <w:t xml:space="preserve"> (the "Founders").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Amount</w:t>
            </w:r>
          </w:p>
        </w:tc>
        <w:tc>
          <w:tcPr>
            <w:tcW w:type="dxa" w:w="7088"/>
            <w:tcMar>
              <w:top w:type="dxa" w:w="80"/>
              <w:left w:type="dxa" w:w="120"/>
              <w:bottom w:type="dxa" w:w="80"/>
              <w:right w:type="dxa" w:w="120"/>
            </w:tcMar>
          </w:tcPr>
          <w:p>
            <w:pPr>
              <w:spacing w:after="80" w:line="276"/>
              <w:jc w:val="both"/>
            </w:pPr>
            <w:r>
              <w:rPr>
                <w:sz w:val="21"/>
                <w:szCs w:val="21"/>
              </w:rPr>
              <w:t xml:space="preserve">VND </w:t>
            </w:r>
            <w:r>
              <w:rPr>
                <w:sz w:val="21"/>
                <w:szCs w:val="21"/>
                <w:shd w:fill="FBE7DA" w:color="auto" w:val="clear"/>
              </w:rPr>
              <w:t xml:space="preserve">[●]</w:t>
            </w:r>
            <w:r>
              <w:rPr>
                <w:sz w:val="21"/>
                <w:szCs w:val="21"/>
              </w:rPr>
              <w:t xml:space="preserve"> billion in total, of which the Lead Investor commits at least VND </w:t>
            </w:r>
            <w:r>
              <w:rPr>
                <w:sz w:val="21"/>
                <w:szCs w:val="21"/>
                <w:shd w:fill="FBE7DA" w:color="auto" w:val="clear"/>
              </w:rPr>
              <w:t xml:space="preserve">[●]</w:t>
            </w:r>
            <w:r>
              <w:rPr>
                <w:sz w:val="21"/>
                <w:szCs w:val="21"/>
              </w:rPr>
              <w:t xml:space="preserve"> billion.</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Pre-money valuation</w:t>
            </w:r>
          </w:p>
        </w:tc>
        <w:tc>
          <w:tcPr>
            <w:tcW w:type="dxa" w:w="7088"/>
            <w:tcMar>
              <w:top w:type="dxa" w:w="80"/>
              <w:left w:type="dxa" w:w="120"/>
              <w:bottom w:type="dxa" w:w="80"/>
              <w:right w:type="dxa" w:w="120"/>
            </w:tcMar>
          </w:tcPr>
          <w:p>
            <w:pPr>
              <w:spacing w:after="80" w:line="276"/>
              <w:jc w:val="both"/>
            </w:pPr>
            <w:r>
              <w:rPr>
                <w:sz w:val="21"/>
                <w:szCs w:val="21"/>
              </w:rPr>
              <w:t xml:space="preserve">VND </w:t>
            </w:r>
            <w:r>
              <w:rPr>
                <w:sz w:val="21"/>
                <w:szCs w:val="21"/>
                <w:shd w:fill="FBE7DA" w:color="auto" w:val="clear"/>
              </w:rPr>
              <w:t xml:space="preserve">[●]</w:t>
            </w:r>
            <w:r>
              <w:rPr>
                <w:sz w:val="21"/>
                <w:szCs w:val="21"/>
              </w:rPr>
              <w:t xml:space="preserve"> billion on a fully diluted basis, including </w:t>
            </w:r>
            <w:r>
              <w:rPr>
                <w:sz w:val="21"/>
                <w:szCs w:val="21"/>
                <w:shd w:fill="FBE7DA" w:color="auto" w:val="clear"/>
              </w:rPr>
              <w:t xml:space="preserve">[the ESOP pool in section 4 / all outstanding SAFEs and convertible notes]</w:t>
            </w:r>
            <w:r>
              <w:rPr>
                <w:sz w:val="21"/>
                <w:szCs w:val="21"/>
              </w:rPr>
              <w:t xml:space="preserve">.</w:t>
            </w:r>
          </w:p>
          <w:p>
            <w:pPr>
              <w:spacing w:after="40" w:line="264"/>
            </w:pPr>
            <w:r>
              <w:rPr>
                <w:b/>
                <w:bCs/>
                <w:i/>
                <w:iCs/>
                <w:color w:val="D9692B"/>
                <w:sz w:val="19"/>
                <w:szCs w:val="19"/>
              </w:rPr>
              <w:t xml:space="preserve">Note: </w:t>
            </w:r>
            <w:r>
              <w:rPr>
                <w:i/>
                <w:iCs/>
                <w:color w:val="5B6577"/>
                <w:sz w:val="19"/>
                <w:szCs w:val="19"/>
              </w:rPr>
              <w:t xml:space="preserve">Ask whether the ESOP is inside or outside the pre-money. Inside means founders bear all of its dilution.</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Security</w:t>
            </w:r>
          </w:p>
        </w:tc>
        <w:tc>
          <w:tcPr>
            <w:tcW w:type="dxa" w:w="7088"/>
            <w:tcMar>
              <w:top w:type="dxa" w:w="80"/>
              <w:left w:type="dxa" w:w="120"/>
              <w:bottom w:type="dxa" w:w="80"/>
              <w:right w:type="dxa" w:w="120"/>
            </w:tcMar>
          </w:tcPr>
          <w:p>
            <w:pPr>
              <w:spacing w:after="80" w:line="276"/>
              <w:jc w:val="both"/>
            </w:pPr>
            <w:r>
              <w:rPr>
                <w:sz w:val="21"/>
                <w:szCs w:val="21"/>
              </w:rPr>
              <w:t xml:space="preserve">Newly issued </w:t>
            </w:r>
            <w:r>
              <w:rPr>
                <w:sz w:val="21"/>
                <w:szCs w:val="21"/>
                <w:shd w:fill="FBE7DA" w:color="auto" w:val="clear"/>
              </w:rPr>
              <w:t xml:space="preserve">[dividend / other charter-defined]</w:t>
            </w:r>
            <w:r>
              <w:rPr>
                <w:sz w:val="21"/>
                <w:szCs w:val="21"/>
              </w:rPr>
              <w:t xml:space="preserve"> preference shares (the "Seed Preferred"), with the rights set out here.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Price per share</w:t>
            </w:r>
          </w:p>
        </w:tc>
        <w:tc>
          <w:tcPr>
            <w:tcW w:type="dxa" w:w="7088"/>
            <w:tcMar>
              <w:top w:type="dxa" w:w="80"/>
              <w:left w:type="dxa" w:w="120"/>
              <w:bottom w:type="dxa" w:w="80"/>
              <w:right w:type="dxa" w:w="120"/>
            </w:tcMar>
          </w:tcPr>
          <w:p>
            <w:pPr>
              <w:spacing w:after="80" w:line="276"/>
              <w:jc w:val="both"/>
            </w:pPr>
            <w:r>
              <w:rPr>
                <w:sz w:val="21"/>
                <w:szCs w:val="21"/>
              </w:rPr>
              <w:t xml:space="preserve">Pre-money valuation divided by the fully diluted share count immediately before the round (the "Original Price").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Use of proceeds</w:t>
            </w:r>
          </w:p>
        </w:tc>
        <w:tc>
          <w:tcPr>
            <w:tcW w:type="dxa" w:w="7088"/>
            <w:tcMar>
              <w:top w:type="dxa" w:w="80"/>
              <w:left w:type="dxa" w:w="120"/>
              <w:bottom w:type="dxa" w:w="80"/>
              <w:right w:type="dxa" w:w="120"/>
            </w:tcMar>
          </w:tcPr>
          <w:p>
            <w:pPr>
              <w:spacing w:after="80" w:line="276"/>
              <w:jc w:val="both"/>
            </w:pPr>
            <w:r>
              <w:rPr>
                <w:sz w:val="21"/>
                <w:szCs w:val="21"/>
              </w:rPr>
              <w:t xml:space="preserve">As set out in the Appendix, mainly for </w:t>
            </w:r>
            <w:r>
              <w:rPr>
                <w:sz w:val="21"/>
                <w:szCs w:val="21"/>
                <w:shd w:fill="FBE7DA" w:color="auto" w:val="clear"/>
              </w:rPr>
              <w:t xml:space="preserve">[product development, hiring, sales]</w:t>
            </w:r>
            <w:r>
              <w:rPr>
                <w:sz w:val="21"/>
                <w:szCs w:val="21"/>
              </w:rPr>
              <w:t xml:space="preserve"> over </w:t>
            </w:r>
            <w:r>
              <w:rPr>
                <w:sz w:val="21"/>
                <w:szCs w:val="21"/>
                <w:shd w:fill="FBE7DA" w:color="auto" w:val="clear"/>
              </w:rPr>
              <w:t xml:space="preserve">[18]</w:t>
            </w:r>
            <w:r>
              <w:rPr>
                <w:sz w:val="21"/>
                <w:szCs w:val="21"/>
              </w:rPr>
              <w:t xml:space="preserve"> months.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Closing</w:t>
            </w:r>
          </w:p>
        </w:tc>
        <w:tc>
          <w:tcPr>
            <w:tcW w:type="dxa" w:w="7088"/>
            <w:tcMar>
              <w:top w:type="dxa" w:w="80"/>
              <w:left w:type="dxa" w:w="120"/>
              <w:bottom w:type="dxa" w:w="80"/>
              <w:right w:type="dxa" w:w="120"/>
            </w:tcMar>
          </w:tcPr>
          <w:p>
            <w:pPr>
              <w:spacing w:after="80" w:line="276"/>
              <w:jc w:val="both"/>
            </w:pPr>
            <w:r>
              <w:rPr>
                <w:sz w:val="21"/>
                <w:szCs w:val="21"/>
              </w:rPr>
              <w:t xml:space="preserve">Expected within </w:t>
            </w:r>
            <w:r>
              <w:rPr>
                <w:sz w:val="21"/>
                <w:szCs w:val="21"/>
                <w:shd w:fill="FBE7DA" w:color="auto" w:val="clear"/>
              </w:rPr>
              <w:t xml:space="preserve">[60]</w:t>
            </w:r>
            <w:r>
              <w:rPr>
                <w:sz w:val="21"/>
                <w:szCs w:val="21"/>
              </w:rPr>
              <w:t xml:space="preserve"> days of signing. Funding </w:t>
            </w:r>
            <w:r>
              <w:rPr>
                <w:sz w:val="21"/>
                <w:szCs w:val="21"/>
                <w:shd w:fill="FBE7DA" w:color="auto" w:val="clear"/>
              </w:rPr>
              <w:t xml:space="preserve">[in one tranche / in [2]</w:t>
            </w:r>
            <w:r>
              <w:rPr>
                <w:sz w:val="21"/>
                <w:szCs w:val="21"/>
              </w:rPr>
              <w:t xml:space="preserve"> tranches tied to the milestones in the Appendix].</w:t>
            </w:r>
          </w:p>
          <w:p>
            <w:pPr>
              <w:spacing w:after="40" w:line="264"/>
            </w:pPr>
            <w:r>
              <w:rPr>
                <w:b/>
                <w:bCs/>
                <w:i/>
                <w:iCs/>
                <w:color w:val="D9692B"/>
                <w:sz w:val="19"/>
                <w:szCs w:val="19"/>
              </w:rPr>
              <w:t xml:space="preserve">Note: </w:t>
            </w:r>
            <w:r>
              <w:rPr>
                <w:i/>
                <w:iCs/>
                <w:color w:val="5B6577"/>
                <w:sz w:val="19"/>
                <w:szCs w:val="19"/>
              </w:rPr>
              <w:t xml:space="preserve">Tranching only makes sense when milestones are clearly measurable and within the Company's control.</w:t>
            </w:r>
          </w:p>
        </w:tc>
      </w:tr>
    </w:tbl>
    <w:p>
      <w:pPr>
        <w:spacing w:after="120"/>
      </w:pPr>
    </w:p>
    <w:p>
      <w:pPr>
        <w:pStyle w:val="Heading2"/>
        <w:keepNext/>
        <w:spacing w:after="100" w:before="200"/>
      </w:pPr>
      <w:r>
        <w:t xml:space="preserve">2. Economic rights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Liquidation preference</w:t>
            </w:r>
          </w:p>
        </w:tc>
        <w:tc>
          <w:tcPr>
            <w:tcW w:type="dxa" w:w="7088"/>
            <w:tcMar>
              <w:top w:type="dxa" w:w="80"/>
              <w:left w:type="dxa" w:w="120"/>
              <w:bottom w:type="dxa" w:w="80"/>
              <w:right w:type="dxa" w:w="120"/>
            </w:tcMar>
          </w:tcPr>
          <w:p>
            <w:pPr>
              <w:spacing w:after="80" w:line="276"/>
              <w:jc w:val="both"/>
            </w:pPr>
            <w:r>
              <w:rPr>
                <w:sz w:val="21"/>
                <w:szCs w:val="21"/>
              </w:rPr>
              <w:t xml:space="preserve">On a sale, merger or dissolution of the Company, after payment of debts, holders of Seed Preferred receive first the greater of (a) </w:t>
            </w:r>
            <w:r>
              <w:rPr>
                <w:sz w:val="21"/>
                <w:szCs w:val="21"/>
                <w:shd w:fill="FBE7DA" w:color="auto" w:val="clear"/>
              </w:rPr>
              <w:t xml:space="preserve">[1]</w:t>
            </w:r>
            <w:r>
              <w:rPr>
                <w:sz w:val="21"/>
                <w:szCs w:val="21"/>
              </w:rPr>
              <w:t xml:space="preserve">x the Original Price plus declared but unpaid dividends, and (b) the amount they would receive on conversion to ordinary shares. The remainder goes to ordinary shareholders.</w:t>
            </w:r>
          </w:p>
          <w:p>
            <w:pPr>
              <w:spacing w:after="40" w:line="264"/>
            </w:pPr>
            <w:r>
              <w:rPr>
                <w:b/>
                <w:bCs/>
                <w:i/>
                <w:iCs/>
                <w:color w:val="D9692B"/>
                <w:sz w:val="19"/>
                <w:szCs w:val="19"/>
              </w:rPr>
              <w:t xml:space="preserve">Note: </w:t>
            </w:r>
            <w:r>
              <w:rPr>
                <w:i/>
                <w:iCs/>
                <w:color w:val="5B6577"/>
                <w:sz w:val="19"/>
                <w:szCs w:val="19"/>
              </w:rPr>
              <w:t xml:space="preserve">This is a 1x non-participating preference, the early-stage standard. See "liquidation waterfall" and "pari passu" in the fundraising.vn glossary.</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Seniority</w:t>
            </w:r>
          </w:p>
        </w:tc>
        <w:tc>
          <w:tcPr>
            <w:tcW w:type="dxa" w:w="7088"/>
            <w:tcMar>
              <w:top w:type="dxa" w:w="80"/>
              <w:left w:type="dxa" w:w="120"/>
              <w:bottom w:type="dxa" w:w="80"/>
              <w:right w:type="dxa" w:w="120"/>
            </w:tcMar>
          </w:tcPr>
          <w:p>
            <w:pPr>
              <w:spacing w:after="80" w:line="276"/>
              <w:jc w:val="both"/>
            </w:pPr>
            <w:r>
              <w:rPr>
                <w:sz w:val="21"/>
                <w:szCs w:val="21"/>
              </w:rPr>
              <w:t xml:space="preserve">Liquidation preferences of later rounds rank </w:t>
            </w:r>
            <w:r>
              <w:rPr>
                <w:sz w:val="21"/>
                <w:szCs w:val="21"/>
                <w:shd w:fill="FBE7DA" w:color="auto" w:val="clear"/>
              </w:rPr>
              <w:t xml:space="preserve">[pari passu with / senior to]</w:t>
            </w:r>
            <w:r>
              <w:rPr>
                <w:sz w:val="21"/>
                <w:szCs w:val="21"/>
              </w:rPr>
              <w:t xml:space="preserve"> the Seed Preferred.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Dividends</w:t>
            </w:r>
          </w:p>
        </w:tc>
        <w:tc>
          <w:tcPr>
            <w:tcW w:type="dxa" w:w="7088"/>
            <w:tcMar>
              <w:top w:type="dxa" w:w="80"/>
              <w:left w:type="dxa" w:w="120"/>
              <w:bottom w:type="dxa" w:w="80"/>
              <w:right w:type="dxa" w:w="120"/>
            </w:tcMar>
          </w:tcPr>
          <w:p>
            <w:pPr>
              <w:spacing w:after="80" w:line="276"/>
              <w:jc w:val="both"/>
            </w:pPr>
            <w:r>
              <w:rPr>
                <w:sz w:val="21"/>
                <w:szCs w:val="21"/>
              </w:rPr>
              <w:t xml:space="preserve">Non-cumulative. Seed Preferred receives dividends when declared by the Board, at the same time and rate as ordinary shares on an as-converted basis.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Conversion</w:t>
            </w:r>
          </w:p>
        </w:tc>
        <w:tc>
          <w:tcPr>
            <w:tcW w:type="dxa" w:w="7088"/>
            <w:tcMar>
              <w:top w:type="dxa" w:w="80"/>
              <w:left w:type="dxa" w:w="120"/>
              <w:bottom w:type="dxa" w:w="80"/>
              <w:right w:type="dxa" w:w="120"/>
            </w:tcMar>
          </w:tcPr>
          <w:p>
            <w:pPr>
              <w:spacing w:after="80" w:line="276"/>
              <w:jc w:val="both"/>
            </w:pPr>
            <w:r>
              <w:rPr>
                <w:sz w:val="21"/>
                <w:szCs w:val="21"/>
              </w:rPr>
              <w:t xml:space="preserve">Holders may convert Seed Preferred into ordinary shares at any time at 1:1 (adjusted for anti-dilution and splits). Automatic conversion on a listing or with the consent of holders of </w:t>
            </w:r>
            <w:r>
              <w:rPr>
                <w:sz w:val="21"/>
                <w:szCs w:val="21"/>
                <w:shd w:fill="FBE7DA" w:color="auto" w:val="clear"/>
              </w:rPr>
              <w:t xml:space="preserve">[a majority]</w:t>
            </w:r>
            <w:r>
              <w:rPr>
                <w:sz w:val="21"/>
                <w:szCs w:val="21"/>
              </w:rPr>
              <w:t xml:space="preserve"> of the Seed Preferred.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Anti-dilution</w:t>
            </w:r>
          </w:p>
        </w:tc>
        <w:tc>
          <w:tcPr>
            <w:tcW w:type="dxa" w:w="7088"/>
            <w:tcMar>
              <w:top w:type="dxa" w:w="80"/>
              <w:left w:type="dxa" w:w="120"/>
              <w:bottom w:type="dxa" w:w="80"/>
              <w:right w:type="dxa" w:w="120"/>
            </w:tcMar>
          </w:tcPr>
          <w:p>
            <w:pPr>
              <w:spacing w:after="80" w:line="276"/>
              <w:jc w:val="both"/>
            </w:pPr>
            <w:r>
              <w:rPr>
                <w:sz w:val="21"/>
                <w:szCs w:val="21"/>
              </w:rPr>
              <w:t xml:space="preserve">If the Company issues shares below the Original Price, the conversion ratio is adjusted on a broad-based weighted average basis. Excludes approved ESOP shares and shares issued on conversion, split or share dividend.</w:t>
            </w:r>
          </w:p>
          <w:p>
            <w:pPr>
              <w:spacing w:after="40" w:line="264"/>
            </w:pPr>
            <w:r>
              <w:rPr>
                <w:b/>
                <w:bCs/>
                <w:i/>
                <w:iCs/>
                <w:color w:val="D9692B"/>
                <w:sz w:val="19"/>
                <w:szCs w:val="19"/>
              </w:rPr>
              <w:t xml:space="preserve">Note: </w:t>
            </w:r>
            <w:r>
              <w:rPr>
                <w:i/>
                <w:iCs/>
                <w:color w:val="5B6577"/>
                <w:sz w:val="19"/>
                <w:szCs w:val="19"/>
              </w:rPr>
              <w:t xml:space="preserve">Avoid full ratchet: in a down round it shifts most of the loss onto founders.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Redemption</w:t>
            </w:r>
          </w:p>
        </w:tc>
        <w:tc>
          <w:tcPr>
            <w:tcW w:type="dxa" w:w="7088"/>
            <w:tcMar>
              <w:top w:type="dxa" w:w="80"/>
              <w:left w:type="dxa" w:w="120"/>
              <w:bottom w:type="dxa" w:w="80"/>
              <w:right w:type="dxa" w:w="120"/>
            </w:tcMar>
          </w:tcPr>
          <w:p>
            <w:pPr>
              <w:spacing w:after="80" w:line="276"/>
              <w:jc w:val="both"/>
            </w:pPr>
            <w:r>
              <w:rPr>
                <w:sz w:val="21"/>
                <w:szCs w:val="21"/>
              </w:rPr>
              <w:t xml:space="preserve">None.</w:t>
            </w:r>
          </w:p>
        </w:tc>
      </w:tr>
    </w:tbl>
    <w:p>
      <w:pPr>
        <w:spacing w:after="120"/>
      </w:pPr>
    </w:p>
    <w:p>
      <w:pPr>
        <w:pStyle w:val="Heading2"/>
        <w:keepNext/>
        <w:spacing w:after="100" w:before="200"/>
      </w:pPr>
      <w:r>
        <w:t xml:space="preserve">3. Governance</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Board of Directors</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[3]</w:t>
            </w:r>
            <w:r>
              <w:rPr>
                <w:sz w:val="21"/>
                <w:szCs w:val="21"/>
              </w:rPr>
              <w:t xml:space="preserve"> members: </w:t>
            </w:r>
            <w:r>
              <w:rPr>
                <w:sz w:val="21"/>
                <w:szCs w:val="21"/>
                <w:shd w:fill="FBE7DA" w:color="auto" w:val="clear"/>
              </w:rPr>
              <w:t xml:space="preserve">[2]</w:t>
            </w:r>
            <w:r>
              <w:rPr>
                <w:sz w:val="21"/>
                <w:szCs w:val="21"/>
              </w:rPr>
              <w:t xml:space="preserve"> nominated by the Founders and </w:t>
            </w:r>
            <w:r>
              <w:rPr>
                <w:sz w:val="21"/>
                <w:szCs w:val="21"/>
                <w:shd w:fill="FBE7DA" w:color="auto" w:val="clear"/>
              </w:rPr>
              <w:t xml:space="preserve">[1]</w:t>
            </w:r>
            <w:r>
              <w:rPr>
                <w:sz w:val="21"/>
                <w:szCs w:val="21"/>
              </w:rPr>
              <w:t xml:space="preserve"> by the Lead Investor. The Lead Investor may also appoint </w:t>
            </w:r>
            <w:r>
              <w:rPr>
                <w:sz w:val="21"/>
                <w:szCs w:val="21"/>
                <w:shd w:fill="FBE7DA" w:color="auto" w:val="clear"/>
              </w:rPr>
              <w:t xml:space="preserve">[1]</w:t>
            </w:r>
            <w:r>
              <w:rPr>
                <w:sz w:val="21"/>
                <w:szCs w:val="21"/>
              </w:rPr>
              <w:t xml:space="preserve"> non-voting observer.</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Protective provisions</w:t>
            </w:r>
          </w:p>
        </w:tc>
        <w:tc>
          <w:tcPr>
            <w:tcW w:type="dxa" w:w="7088"/>
            <w:tcMar>
              <w:top w:type="dxa" w:w="80"/>
              <w:left w:type="dxa" w:w="120"/>
              <w:bottom w:type="dxa" w:w="80"/>
              <w:right w:type="dxa" w:w="120"/>
            </w:tcMar>
          </w:tcPr>
          <w:p>
            <w:pPr>
              <w:spacing w:after="80" w:line="276"/>
              <w:jc w:val="both"/>
            </w:pPr>
            <w:r>
              <w:rPr>
                <w:sz w:val="21"/>
                <w:szCs w:val="21"/>
              </w:rPr>
              <w:t xml:space="preserve">The following require approval of holders of </w:t>
            </w:r>
            <w:r>
              <w:rPr>
                <w:sz w:val="21"/>
                <w:szCs w:val="21"/>
                <w:shd w:fill="FBE7DA" w:color="auto" w:val="clear"/>
              </w:rPr>
              <w:t xml:space="preserve">[a majority]</w:t>
            </w:r>
            <w:r>
              <w:rPr>
                <w:sz w:val="21"/>
                <w:szCs w:val="21"/>
              </w:rPr>
              <w:t xml:space="preserve"> of the Seed Preferred: (a) charter amendments adversely changing Seed Preferred rights; (b) issuing shares ranking equal to or above the Seed Preferred; (c) share buybacks, except under vesting and ESOP arrangements; (d) paying dividends; (e) sale, merger or dissolution of the Company or sale of substantially all assets; (f) changing the size of the Board; (g) borrowing or guarantees above VND </w:t>
            </w:r>
            <w:r>
              <w:rPr>
                <w:sz w:val="21"/>
                <w:szCs w:val="21"/>
                <w:shd w:fill="FBE7DA" w:color="auto" w:val="clear"/>
              </w:rPr>
              <w:t xml:space="preserve">[●]</w:t>
            </w:r>
            <w:r>
              <w:rPr>
                <w:sz w:val="21"/>
                <w:szCs w:val="21"/>
              </w:rPr>
              <w:t xml:space="preserve"> billion outside the approved plan; (h) changing the main line of business.</w:t>
            </w:r>
          </w:p>
          <w:p>
            <w:pPr>
              <w:spacing w:after="40" w:line="264"/>
            </w:pPr>
            <w:r>
              <w:rPr>
                <w:b/>
                <w:bCs/>
                <w:i/>
                <w:iCs/>
                <w:color w:val="D9692B"/>
                <w:sz w:val="19"/>
                <w:szCs w:val="19"/>
              </w:rPr>
              <w:t xml:space="preserve">Note: </w:t>
            </w:r>
            <w:r>
              <w:rPr>
                <w:i/>
                <w:iCs/>
                <w:color w:val="5B6577"/>
                <w:sz w:val="19"/>
                <w:szCs w:val="19"/>
              </w:rPr>
              <w:t xml:space="preserve">Keep the list short. Vetoes over the annual budget or hiring slow the company down and are rarely needed at seed.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Information rights</w:t>
            </w:r>
          </w:p>
        </w:tc>
        <w:tc>
          <w:tcPr>
            <w:tcW w:type="dxa" w:w="7088"/>
            <w:tcMar>
              <w:top w:type="dxa" w:w="80"/>
              <w:left w:type="dxa" w:w="120"/>
              <w:bottom w:type="dxa" w:w="80"/>
              <w:right w:type="dxa" w:w="120"/>
            </w:tcMar>
          </w:tcPr>
          <w:p>
            <w:pPr>
              <w:spacing w:after="80" w:line="276"/>
              <w:jc w:val="both"/>
            </w:pPr>
            <w:r>
              <w:rPr>
                <w:sz w:val="21"/>
                <w:szCs w:val="21"/>
              </w:rPr>
              <w:t xml:space="preserve">Investors holding </w:t>
            </w:r>
            <w:r>
              <w:rPr>
                <w:sz w:val="21"/>
                <w:szCs w:val="21"/>
                <w:shd w:fill="FBE7DA" w:color="auto" w:val="clear"/>
              </w:rPr>
              <w:t xml:space="preserve">[5]</w:t>
            </w:r>
            <w:r>
              <w:rPr>
                <w:sz w:val="21"/>
                <w:szCs w:val="21"/>
              </w:rPr>
              <w:t xml:space="preserve">% or more ("Major Investors") receive: quarterly financial statements and KPIs within </w:t>
            </w:r>
            <w:r>
              <w:rPr>
                <w:sz w:val="21"/>
                <w:szCs w:val="21"/>
                <w:shd w:fill="FBE7DA" w:color="auto" w:val="clear"/>
              </w:rPr>
              <w:t xml:space="preserve">[45]</w:t>
            </w:r>
            <w:r>
              <w:rPr>
                <w:sz w:val="21"/>
                <w:szCs w:val="21"/>
              </w:rPr>
              <w:t xml:space="preserve"> days of quarter end; </w:t>
            </w:r>
            <w:r>
              <w:rPr>
                <w:sz w:val="21"/>
                <w:szCs w:val="21"/>
                <w:shd w:fill="FBE7DA" w:color="auto" w:val="clear"/>
              </w:rPr>
              <w:t xml:space="preserve">[audited]</w:t>
            </w:r>
            <w:r>
              <w:rPr>
                <w:sz w:val="21"/>
                <w:szCs w:val="21"/>
              </w:rPr>
              <w:t xml:space="preserve"> annual financial statements within </w:t>
            </w:r>
            <w:r>
              <w:rPr>
                <w:sz w:val="21"/>
                <w:szCs w:val="21"/>
                <w:shd w:fill="FBE7DA" w:color="auto" w:val="clear"/>
              </w:rPr>
              <w:t xml:space="preserve">[120]</w:t>
            </w:r>
            <w:r>
              <w:rPr>
                <w:sz w:val="21"/>
                <w:szCs w:val="21"/>
              </w:rPr>
              <w:t xml:space="preserve"> days of year end; the annual budget before the year starts. All shareholders receive a quarterly update.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Pro rata right</w:t>
            </w:r>
          </w:p>
        </w:tc>
        <w:tc>
          <w:tcPr>
            <w:tcW w:type="dxa" w:w="7088"/>
            <w:tcMar>
              <w:top w:type="dxa" w:w="80"/>
              <w:left w:type="dxa" w:w="120"/>
              <w:bottom w:type="dxa" w:w="80"/>
              <w:right w:type="dxa" w:w="120"/>
            </w:tcMar>
          </w:tcPr>
          <w:p>
            <w:pPr>
              <w:spacing w:after="80" w:line="276"/>
              <w:jc w:val="both"/>
            </w:pPr>
            <w:r>
              <w:rPr>
                <w:sz w:val="21"/>
                <w:szCs w:val="21"/>
              </w:rPr>
              <w:t xml:space="preserve">Major Investors may buy newly issued shares to maintain their ownership percentage, excluding ESOP shares and customary exceptions.</w:t>
            </w:r>
          </w:p>
        </w:tc>
      </w:tr>
    </w:tbl>
    <w:p>
      <w:pPr>
        <w:spacing w:after="120"/>
      </w:pPr>
    </w:p>
    <w:p>
      <w:pPr>
        <w:pStyle w:val="Heading2"/>
        <w:keepNext/>
        <w:spacing w:after="100" w:before="200"/>
      </w:pPr>
      <w:r>
        <w:t xml:space="preserve">4. Founders, ESOP and transfers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Founder vesting</w:t>
            </w:r>
          </w:p>
        </w:tc>
        <w:tc>
          <w:tcPr>
            <w:tcW w:type="dxa" w:w="7088"/>
            <w:tcMar>
              <w:top w:type="dxa" w:w="80"/>
              <w:left w:type="dxa" w:w="120"/>
              <w:bottom w:type="dxa" w:w="80"/>
              <w:right w:type="dxa" w:w="120"/>
            </w:tcMar>
          </w:tcPr>
          <w:p>
            <w:pPr>
              <w:spacing w:after="80" w:line="276"/>
              <w:jc w:val="both"/>
            </w:pPr>
            <w:r>
              <w:rPr>
                <w:sz w:val="21"/>
                <w:szCs w:val="21"/>
              </w:rPr>
              <w:t xml:space="preserve">Each Founder's shares vest over </w:t>
            </w:r>
            <w:r>
              <w:rPr>
                <w:sz w:val="21"/>
                <w:szCs w:val="21"/>
                <w:shd w:fill="FBE7DA" w:color="auto" w:val="clear"/>
              </w:rPr>
              <w:t xml:space="preserve">[48]</w:t>
            </w:r>
            <w:r>
              <w:rPr>
                <w:sz w:val="21"/>
                <w:szCs w:val="21"/>
              </w:rPr>
              <w:t xml:space="preserve"> months with a </w:t>
            </w:r>
            <w:r>
              <w:rPr>
                <w:sz w:val="21"/>
                <w:szCs w:val="21"/>
                <w:shd w:fill="FBE7DA" w:color="auto" w:val="clear"/>
              </w:rPr>
              <w:t xml:space="preserve">[12]</w:t>
            </w:r>
            <w:r>
              <w:rPr>
                <w:sz w:val="21"/>
                <w:szCs w:val="21"/>
              </w:rPr>
              <w:t xml:space="preserve">-month cliff, from </w:t>
            </w:r>
            <w:r>
              <w:rPr>
                <w:sz w:val="21"/>
                <w:szCs w:val="21"/>
                <w:shd w:fill="FBE7DA" w:color="auto" w:val="clear"/>
              </w:rPr>
              <w:t xml:space="preserve">[actual start date]</w:t>
            </w:r>
            <w:r>
              <w:rPr>
                <w:sz w:val="21"/>
                <w:szCs w:val="21"/>
              </w:rPr>
              <w:t xml:space="preserve">, through a buyback of unvested shares at </w:t>
            </w:r>
            <w:r>
              <w:rPr>
                <w:sz w:val="21"/>
                <w:szCs w:val="21"/>
                <w:shd w:fill="FBE7DA" w:color="auto" w:val="clear"/>
              </w:rPr>
              <w:t xml:space="preserve">[the amount paid]</w:t>
            </w:r>
            <w:r>
              <w:rPr>
                <w:sz w:val="21"/>
                <w:szCs w:val="21"/>
              </w:rPr>
              <w:t xml:space="preserve">. Double-trigger acceleration of </w:t>
            </w:r>
            <w:r>
              <w:rPr>
                <w:sz w:val="21"/>
                <w:szCs w:val="21"/>
                <w:shd w:fill="FBE7DA" w:color="auto" w:val="clear"/>
              </w:rPr>
              <w:t xml:space="preserve">[100]</w:t>
            </w:r>
            <w:r>
              <w:rPr>
                <w:sz w:val="21"/>
                <w:szCs w:val="21"/>
              </w:rPr>
              <w:t xml:space="preserve">% of the remainder if the Company is sold and the Founder is terminated without cause within </w:t>
            </w:r>
            <w:r>
              <w:rPr>
                <w:sz w:val="21"/>
                <w:szCs w:val="21"/>
                <w:shd w:fill="FBE7DA" w:color="auto" w:val="clear"/>
              </w:rPr>
              <w:t xml:space="preserve">[12]</w:t>
            </w:r>
            <w:r>
              <w:rPr>
                <w:sz w:val="21"/>
                <w:szCs w:val="21"/>
              </w:rPr>
              <w:t xml:space="preserve"> months.</w:t>
            </w:r>
          </w:p>
          <w:p>
            <w:pPr>
              <w:spacing w:after="40" w:line="264"/>
            </w:pPr>
            <w:r>
              <w:rPr>
                <w:b/>
                <w:bCs/>
                <w:i/>
                <w:iCs/>
                <w:color w:val="D9692B"/>
                <w:sz w:val="19"/>
                <w:szCs w:val="19"/>
              </w:rPr>
              <w:t xml:space="preserve">Note: </w:t>
            </w:r>
            <w:r>
              <w:rPr>
                <w:i/>
                <w:iCs/>
                <w:color w:val="5B6577"/>
                <w:sz w:val="19"/>
                <w:szCs w:val="19"/>
              </w:rPr>
              <w:t xml:space="preserve">See the fundraising.vn "Founder share vesting agreement" template for detailed drafting.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ESOP pool</w:t>
            </w:r>
          </w:p>
        </w:tc>
        <w:tc>
          <w:tcPr>
            <w:tcW w:type="dxa" w:w="7088"/>
            <w:tcMar>
              <w:top w:type="dxa" w:w="80"/>
              <w:left w:type="dxa" w:w="120"/>
              <w:bottom w:type="dxa" w:w="80"/>
              <w:right w:type="dxa" w:w="120"/>
            </w:tcMar>
          </w:tcPr>
          <w:p>
            <w:pPr>
              <w:spacing w:after="80" w:line="276"/>
              <w:jc w:val="both"/>
            </w:pPr>
            <w:r>
              <w:rPr>
                <w:sz w:val="21"/>
                <w:szCs w:val="21"/>
              </w:rPr>
              <w:t xml:space="preserve">The Company reserves </w:t>
            </w:r>
            <w:r>
              <w:rPr>
                <w:sz w:val="21"/>
                <w:szCs w:val="21"/>
                <w:shd w:fill="FBE7DA" w:color="auto" w:val="clear"/>
              </w:rPr>
              <w:t xml:space="preserve">[10]</w:t>
            </w:r>
            <w:r>
              <w:rPr>
                <w:sz w:val="21"/>
                <w:szCs w:val="21"/>
              </w:rPr>
              <w:t xml:space="preserve">% of the fully diluted shares </w:t>
            </w:r>
            <w:r>
              <w:rPr>
                <w:sz w:val="21"/>
                <w:szCs w:val="21"/>
                <w:shd w:fill="FBE7DA" w:color="auto" w:val="clear"/>
              </w:rPr>
              <w:t xml:space="preserve">[post-money]</w:t>
            </w:r>
            <w:r>
              <w:rPr>
                <w:sz w:val="21"/>
                <w:szCs w:val="21"/>
              </w:rPr>
              <w:t xml:space="preserve"> for an employee share plan approved by the Board, with standard 4-year vesting and a 1-year cliff.</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Founder undertakings</w:t>
            </w:r>
          </w:p>
        </w:tc>
        <w:tc>
          <w:tcPr>
            <w:tcW w:type="dxa" w:w="7088"/>
            <w:tcMar>
              <w:top w:type="dxa" w:w="80"/>
              <w:left w:type="dxa" w:w="120"/>
              <w:bottom w:type="dxa" w:w="80"/>
              <w:right w:type="dxa" w:w="120"/>
            </w:tcMar>
          </w:tcPr>
          <w:p>
            <w:pPr>
              <w:spacing w:after="80" w:line="276"/>
              <w:jc w:val="both"/>
            </w:pPr>
            <w:r>
              <w:rPr>
                <w:sz w:val="21"/>
                <w:szCs w:val="21"/>
              </w:rPr>
              <w:t xml:space="preserve">Each Founder works full time, assigns all relevant IP to the Company, and agrees to confidentiality and non-compete during engagement and for </w:t>
            </w:r>
            <w:r>
              <w:rPr>
                <w:sz w:val="21"/>
                <w:szCs w:val="21"/>
                <w:shd w:fill="FBE7DA" w:color="auto" w:val="clear"/>
              </w:rPr>
              <w:t xml:space="preserve">[12]</w:t>
            </w:r>
            <w:r>
              <w:rPr>
                <w:sz w:val="21"/>
                <w:szCs w:val="21"/>
              </w:rPr>
              <w:t xml:space="preserve"> months after leaving.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ROFR and co-sale</w:t>
            </w:r>
          </w:p>
        </w:tc>
        <w:tc>
          <w:tcPr>
            <w:tcW w:type="dxa" w:w="7088"/>
            <w:tcMar>
              <w:top w:type="dxa" w:w="80"/>
              <w:left w:type="dxa" w:w="120"/>
              <w:bottom w:type="dxa" w:w="80"/>
              <w:right w:type="dxa" w:w="120"/>
            </w:tcMar>
          </w:tcPr>
          <w:p>
            <w:pPr>
              <w:spacing w:after="80" w:line="276"/>
              <w:jc w:val="both"/>
            </w:pPr>
            <w:r>
              <w:rPr>
                <w:sz w:val="21"/>
                <w:szCs w:val="21"/>
              </w:rPr>
              <w:t xml:space="preserve">If a Founder proposes to sell shares, the Company and then the Major Investors have a right of first refusal at the same price. If they do not buy, Major Investors may sell alongside pro rata (tag-along).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Drag-along</w:t>
            </w:r>
          </w:p>
        </w:tc>
        <w:tc>
          <w:tcPr>
            <w:tcW w:type="dxa" w:w="7088"/>
            <w:tcMar>
              <w:top w:type="dxa" w:w="80"/>
              <w:left w:type="dxa" w:w="120"/>
              <w:bottom w:type="dxa" w:w="80"/>
              <w:right w:type="dxa" w:w="120"/>
            </w:tcMar>
          </w:tcPr>
          <w:p>
            <w:pPr>
              <w:spacing w:after="80" w:line="276"/>
              <w:jc w:val="both"/>
            </w:pPr>
            <w:r>
              <w:rPr>
                <w:sz w:val="21"/>
                <w:szCs w:val="21"/>
              </w:rPr>
              <w:t xml:space="preserve">If the Board, holders of </w:t>
            </w:r>
            <w:r>
              <w:rPr>
                <w:sz w:val="21"/>
                <w:szCs w:val="21"/>
                <w:shd w:fill="FBE7DA" w:color="auto" w:val="clear"/>
              </w:rPr>
              <w:t xml:space="preserve">[a majority]</w:t>
            </w:r>
            <w:r>
              <w:rPr>
                <w:sz w:val="21"/>
                <w:szCs w:val="21"/>
              </w:rPr>
              <w:t xml:space="preserve"> of the Seed Preferred and </w:t>
            </w:r>
            <w:r>
              <w:rPr>
                <w:sz w:val="21"/>
                <w:szCs w:val="21"/>
                <w:shd w:fill="FBE7DA" w:color="auto" w:val="clear"/>
              </w:rPr>
              <w:t xml:space="preserve">[a majority]</w:t>
            </w:r>
            <w:r>
              <w:rPr>
                <w:sz w:val="21"/>
                <w:szCs w:val="21"/>
              </w:rPr>
              <w:t xml:space="preserve"> of the ordinary shares held by the Founders approve a sale of the Company, all other shareholders must sell on the same terms, provided all shareholders receive the same form of consideration and no one gives representations or indemnities exceeding the proceeds they receive.</w:t>
            </w:r>
          </w:p>
          <w:p>
            <w:pPr>
              <w:spacing w:after="40" w:line="264"/>
            </w:pPr>
            <w:r>
              <w:rPr>
                <w:b/>
                <w:bCs/>
                <w:i/>
                <w:iCs/>
                <w:color w:val="D9692B"/>
                <w:sz w:val="19"/>
                <w:szCs w:val="19"/>
              </w:rPr>
              <w:t xml:space="preserve">Note: </w:t>
            </w:r>
            <w:r>
              <w:rPr>
                <w:i/>
                <w:iCs/>
                <w:color w:val="5B6577"/>
                <w:sz w:val="19"/>
                <w:szCs w:val="19"/>
              </w:rPr>
              <w:t xml:space="preserve">Insist on "same consideration" and a liability cap so you cannot be dragged into a bad deal.</w:t>
            </w:r>
          </w:p>
        </w:tc>
      </w:tr>
    </w:tbl>
    <w:p>
      <w:pPr>
        <w:spacing w:after="120"/>
      </w:pPr>
    </w:p>
    <w:p>
      <w:pPr>
        <w:pStyle w:val="Heading2"/>
        <w:keepNext/>
        <w:spacing w:after="100" w:before="200"/>
      </w:pPr>
      <w:r>
        <w:t xml:space="preserve">5. Conditions and process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Due diligence</w:t>
            </w:r>
          </w:p>
        </w:tc>
        <w:tc>
          <w:tcPr>
            <w:tcW w:type="dxa" w:w="7088"/>
            <w:tcMar>
              <w:top w:type="dxa" w:w="80"/>
              <w:left w:type="dxa" w:w="120"/>
              <w:bottom w:type="dxa" w:w="80"/>
              <w:right w:type="dxa" w:w="120"/>
            </w:tcMar>
          </w:tcPr>
          <w:p>
            <w:pPr>
              <w:spacing w:after="80" w:line="276"/>
              <w:jc w:val="both"/>
            </w:pPr>
            <w:r>
              <w:rPr>
                <w:sz w:val="21"/>
                <w:szCs w:val="21"/>
              </w:rPr>
              <w:t xml:space="preserve">Investors may conduct legal, financial and business due diligence within </w:t>
            </w:r>
            <w:r>
              <w:rPr>
                <w:sz w:val="21"/>
                <w:szCs w:val="21"/>
                <w:shd w:fill="FBE7DA" w:color="auto" w:val="clear"/>
              </w:rPr>
              <w:t xml:space="preserve">[30]</w:t>
            </w:r>
            <w:r>
              <w:rPr>
                <w:sz w:val="21"/>
                <w:szCs w:val="21"/>
              </w:rPr>
              <w:t xml:space="preserve"> days of signing. The Company provides documents through a data room.</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Conditions to closing</w:t>
            </w:r>
          </w:p>
        </w:tc>
        <w:tc>
          <w:tcPr>
            <w:tcW w:type="dxa" w:w="7088"/>
            <w:tcMar>
              <w:top w:type="dxa" w:w="80"/>
              <w:left w:type="dxa" w:w="120"/>
              <w:bottom w:type="dxa" w:w="80"/>
              <w:right w:type="dxa" w:w="120"/>
            </w:tcMar>
          </w:tcPr>
          <w:p>
            <w:pPr>
              <w:spacing w:after="80" w:line="276"/>
              <w:jc w:val="both"/>
            </w:pPr>
            <w:r>
              <w:rPr>
                <w:sz w:val="21"/>
                <w:szCs w:val="21"/>
              </w:rPr>
              <w:t xml:space="preserve">(a) Due diligence reveals no undisclosed material issue; (b) transaction documents are signed; (c) the Company passes resolutions approving the issuance and charter amendments; (d) investment registration with the authorities is completed where required for the Investor; (e) Founder vesting and IP assignment agreements are signed.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Transaction documents</w:t>
            </w:r>
          </w:p>
        </w:tc>
        <w:tc>
          <w:tcPr>
            <w:tcW w:type="dxa" w:w="7088"/>
            <w:tcMar>
              <w:top w:type="dxa" w:w="80"/>
              <w:left w:type="dxa" w:w="120"/>
              <w:bottom w:type="dxa" w:w="80"/>
              <w:right w:type="dxa" w:w="120"/>
            </w:tcMar>
          </w:tcPr>
          <w:p>
            <w:pPr>
              <w:spacing w:after="80" w:line="276"/>
              <w:jc w:val="both"/>
            </w:pPr>
            <w:r>
              <w:rPr>
                <w:sz w:val="21"/>
                <w:szCs w:val="21"/>
              </w:rPr>
              <w:t xml:space="preserve">Share subscription agreement, shareholders agreement, amended charter and related resolutions. First drafts by </w:t>
            </w:r>
            <w:r>
              <w:rPr>
                <w:sz w:val="21"/>
                <w:szCs w:val="21"/>
                <w:shd w:fill="FBE7DA" w:color="auto" w:val="clear"/>
              </w:rPr>
              <w:t xml:space="preserve">[counsel to the Lead Investor]</w:t>
            </w:r>
            <w:r>
              <w:rPr>
                <w:sz w:val="21"/>
                <w:szCs w:val="21"/>
              </w:rPr>
              <w:t xml:space="preserv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Representations and warranties</w:t>
            </w:r>
          </w:p>
        </w:tc>
        <w:tc>
          <w:tcPr>
            <w:tcW w:type="dxa" w:w="7088"/>
            <w:tcMar>
              <w:top w:type="dxa" w:w="80"/>
              <w:left w:type="dxa" w:w="120"/>
              <w:bottom w:type="dxa" w:w="80"/>
              <w:right w:type="dxa" w:w="120"/>
            </w:tcMar>
          </w:tcPr>
          <w:p>
            <w:pPr>
              <w:spacing w:after="80" w:line="276"/>
              <w:jc w:val="both"/>
            </w:pPr>
            <w:r>
              <w:rPr>
                <w:sz w:val="21"/>
                <w:szCs w:val="21"/>
              </w:rPr>
              <w:t xml:space="preserve">Customary for an early-stage round, given by the Company. Founders give representations only as to matters within their knowledge, with liability capped at </w:t>
            </w:r>
            <w:r>
              <w:rPr>
                <w:sz w:val="21"/>
                <w:szCs w:val="21"/>
                <w:shd w:fill="FBE7DA" w:color="auto" w:val="clear"/>
              </w:rPr>
              <w:t xml:space="preserve">[the value of the Founder's shares at the Original Price]</w:t>
            </w:r>
            <w:r>
              <w:rPr>
                <w:sz w:val="21"/>
                <w:szCs w:val="21"/>
              </w:rPr>
              <w:t xml:space="preserve">.</w:t>
            </w:r>
          </w:p>
          <w:p>
            <w:pPr>
              <w:spacing w:after="40" w:line="264"/>
            </w:pPr>
            <w:r>
              <w:rPr>
                <w:b/>
                <w:bCs/>
                <w:i/>
                <w:iCs/>
                <w:color w:val="D9692B"/>
                <w:sz w:val="19"/>
                <w:szCs w:val="19"/>
              </w:rPr>
              <w:t xml:space="preserve">Note: </w:t>
            </w:r>
            <w:r>
              <w:rPr>
                <w:i/>
                <w:iCs/>
                <w:color w:val="5B6577"/>
                <w:sz w:val="19"/>
                <w:szCs w:val="19"/>
              </w:rPr>
              <w:t xml:space="preserve">Prepare a disclosure letter listing known issues in advance.</w:t>
            </w:r>
          </w:p>
        </w:tc>
      </w:tr>
    </w:tbl>
    <w:p>
      <w:pPr>
        <w:spacing w:after="120"/>
      </w:pPr>
    </w:p>
    <w:p>
      <w:pPr>
        <w:pStyle w:val="Heading2"/>
        <w:keepNext/>
        <w:spacing w:after="100" w:before="200"/>
      </w:pPr>
      <w:r>
        <w:t xml:space="preserve">6. Binding provisions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No-shop</w:t>
            </w:r>
          </w:p>
        </w:tc>
        <w:tc>
          <w:tcPr>
            <w:tcW w:type="dxa" w:w="7088"/>
            <w:tcMar>
              <w:top w:type="dxa" w:w="80"/>
              <w:left w:type="dxa" w:w="120"/>
              <w:bottom w:type="dxa" w:w="80"/>
              <w:right w:type="dxa" w:w="120"/>
            </w:tcMar>
          </w:tcPr>
          <w:p>
            <w:pPr>
              <w:spacing w:after="80" w:line="276"/>
              <w:jc w:val="both"/>
            </w:pPr>
            <w:r>
              <w:rPr>
                <w:sz w:val="21"/>
                <w:szCs w:val="21"/>
              </w:rPr>
              <w:t xml:space="preserve">For </w:t>
            </w:r>
            <w:r>
              <w:rPr>
                <w:sz w:val="21"/>
                <w:szCs w:val="21"/>
                <w:shd w:fill="FBE7DA" w:color="auto" w:val="clear"/>
              </w:rPr>
              <w:t xml:space="preserve">[45]</w:t>
            </w:r>
            <w:r>
              <w:rPr>
                <w:sz w:val="21"/>
                <w:szCs w:val="21"/>
              </w:rPr>
              <w:t xml:space="preserve"> days from signing, the Company and the Founders will not solicit, negotiate or accept investment proposals from other parties, except inviting co-investors into this round. This ends automatically if the Lead Investor gives notice that it will not proceed or proposes an adverse change to the valuation.</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Confidentiality</w:t>
            </w:r>
          </w:p>
        </w:tc>
        <w:tc>
          <w:tcPr>
            <w:tcW w:type="dxa" w:w="7088"/>
            <w:tcMar>
              <w:top w:type="dxa" w:w="80"/>
              <w:left w:type="dxa" w:w="120"/>
              <w:bottom w:type="dxa" w:w="80"/>
              <w:right w:type="dxa" w:w="120"/>
            </w:tcMar>
          </w:tcPr>
          <w:p>
            <w:pPr>
              <w:spacing w:after="80" w:line="276"/>
              <w:jc w:val="both"/>
            </w:pPr>
            <w:r>
              <w:rPr>
                <w:sz w:val="21"/>
                <w:szCs w:val="21"/>
              </w:rPr>
              <w:t xml:space="preserve">The parties keep the terms of this term sheet and information received in due diligence confidential, except disclosure to advisers or as required by law.</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Expenses</w:t>
            </w:r>
          </w:p>
        </w:tc>
        <w:tc>
          <w:tcPr>
            <w:tcW w:type="dxa" w:w="7088"/>
            <w:tcMar>
              <w:top w:type="dxa" w:w="80"/>
              <w:left w:type="dxa" w:w="120"/>
              <w:bottom w:type="dxa" w:w="80"/>
              <w:right w:type="dxa" w:w="120"/>
            </w:tcMar>
          </w:tcPr>
          <w:p>
            <w:pPr>
              <w:spacing w:after="80" w:line="276"/>
              <w:jc w:val="both"/>
            </w:pPr>
            <w:r>
              <w:rPr>
                <w:sz w:val="21"/>
                <w:szCs w:val="21"/>
              </w:rPr>
              <w:t xml:space="preserve">On closing, the Company reimburses reasonable legal fees of the Lead Investor up to VND </w:t>
            </w:r>
            <w:r>
              <w:rPr>
                <w:sz w:val="21"/>
                <w:szCs w:val="21"/>
                <w:shd w:fill="FBE7DA" w:color="auto" w:val="clear"/>
              </w:rPr>
              <w:t xml:space="preserve">[●]</w:t>
            </w:r>
            <w:r>
              <w:rPr>
                <w:sz w:val="21"/>
                <w:szCs w:val="21"/>
              </w:rPr>
              <w:t xml:space="preserve"> million. If the deal does not close, each party bears its own costs.</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Governing law</w:t>
            </w:r>
          </w:p>
        </w:tc>
        <w:tc>
          <w:tcPr>
            <w:tcW w:type="dxa" w:w="7088"/>
            <w:tcMar>
              <w:top w:type="dxa" w:w="80"/>
              <w:left w:type="dxa" w:w="120"/>
              <w:bottom w:type="dxa" w:w="80"/>
              <w:right w:type="dxa" w:w="120"/>
            </w:tcMar>
          </w:tcPr>
          <w:p>
            <w:pPr>
              <w:spacing w:after="80" w:line="276"/>
              <w:jc w:val="both"/>
            </w:pPr>
            <w:r>
              <w:rPr>
                <w:sz w:val="21"/>
                <w:szCs w:val="21"/>
              </w:rPr>
              <w:t xml:space="preserve">The laws of Vietnam. Disputes resolved at </w:t>
            </w:r>
            <w:r>
              <w:rPr>
                <w:sz w:val="21"/>
                <w:szCs w:val="21"/>
                <w:shd w:fill="FBE7DA" w:color="auto" w:val="clear"/>
              </w:rPr>
              <w:t xml:space="preserve">[the Vietnam International Arbitration Centre (VIAC)]</w:t>
            </w:r>
            <w:r>
              <w:rPr>
                <w:sz w:val="21"/>
                <w:szCs w:val="21"/>
              </w:rPr>
              <w:t xml:space="preserv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Term</w:t>
            </w:r>
          </w:p>
        </w:tc>
        <w:tc>
          <w:tcPr>
            <w:tcW w:type="dxa" w:w="7088"/>
            <w:tcMar>
              <w:top w:type="dxa" w:w="80"/>
              <w:left w:type="dxa" w:w="120"/>
              <w:bottom w:type="dxa" w:w="80"/>
              <w:right w:type="dxa" w:w="120"/>
            </w:tcMar>
          </w:tcPr>
          <w:p>
            <w:pPr>
              <w:spacing w:after="80" w:line="276"/>
              <w:jc w:val="both"/>
            </w:pPr>
            <w:r>
              <w:rPr>
                <w:sz w:val="21"/>
                <w:szCs w:val="21"/>
              </w:rPr>
              <w:t xml:space="preserve">This term sheet lapses if not signed by </w:t>
            </w:r>
            <w:r>
              <w:rPr>
                <w:sz w:val="21"/>
                <w:szCs w:val="21"/>
                <w:shd w:fill="FBE7DA" w:color="auto" w:val="clear"/>
              </w:rPr>
              <w:t xml:space="preserve">[●]</w:t>
            </w:r>
            <w:r>
              <w:rPr>
                <w:sz w:val="21"/>
                <w:szCs w:val="21"/>
              </w:rPr>
              <w:t xml:space="preserve">. The binding provisions in this section apply from signing until the transaction documents are signed or </w:t>
            </w:r>
            <w:r>
              <w:rPr>
                <w:sz w:val="21"/>
                <w:szCs w:val="21"/>
                <w:shd w:fill="FBE7DA" w:color="auto" w:val="clear"/>
              </w:rPr>
              <w:t xml:space="preserve">[60]</w:t>
            </w:r>
            <w:r>
              <w:rPr>
                <w:sz w:val="21"/>
                <w:szCs w:val="21"/>
              </w:rPr>
              <w:t xml:space="preserve"> days, whichever is earlier (Confidentiality survives for </w:t>
            </w:r>
            <w:r>
              <w:rPr>
                <w:sz w:val="21"/>
                <w:szCs w:val="21"/>
                <w:shd w:fill="FBE7DA" w:color="auto" w:val="clear"/>
              </w:rPr>
              <w:t xml:space="preserve">[2]</w:t>
            </w:r>
            <w:r>
              <w:rPr>
                <w:sz w:val="21"/>
                <w:szCs w:val="21"/>
              </w:rPr>
              <w:t xml:space="preserve"> years).</w:t>
            </w:r>
          </w:p>
        </w:tc>
      </w:tr>
    </w:tbl>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THE COMPANY</w:t>
            </w:r>
          </w:p>
          <w:p>
            <w:pPr>
              <w:spacing w:after="1100"/>
              <w:jc w:val="center"/>
            </w:pPr>
            <w:r>
              <w:rPr>
                <w:i/>
                <w:iCs/>
                <w:color w:val="5B6577"/>
                <w:sz w:val="20"/>
                <w:szCs w:val="20"/>
              </w:rPr>
              <w:t xml:space="preserve">(Signature, full name, seal)</w:t>
            </w:r>
          </w:p>
          <w:p>
            <w:pPr>
              <w:spacing w:after="240"/>
              <w:jc w:val="center"/>
            </w:pPr>
            <w:r>
              <w:rPr>
                <w:shd w:fill="FBE7DA" w:color="auto" w:val="clear"/>
              </w:rPr>
              <w:t xml:space="preserve">[Representative name]</w:t>
            </w:r>
          </w:p>
        </w:tc>
        <w:tc>
          <w:tcPr>
            <w:tcW w:type="dxa" w:w="4819"/>
            <w:tcMar>
              <w:top w:type="dxa" w:w="80"/>
              <w:left w:type="dxa" w:w="120"/>
              <w:bottom w:type="dxa" w:w="80"/>
              <w:right w:type="dxa" w:w="120"/>
            </w:tcMar>
          </w:tcPr>
          <w:p>
            <w:pPr>
              <w:spacing w:after="40"/>
              <w:jc w:val="center"/>
            </w:pPr>
            <w:r>
              <w:rPr>
                <w:b/>
                <w:bCs/>
              </w:rPr>
              <w:t xml:space="preserve">LEAD INVESTOR</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[Representative name]</w:t>
            </w:r>
          </w:p>
        </w:tc>
      </w:tr>
      <w:tr>
        <w:trPr>
          <w:cantSplit/>
        </w:trPr>
        <w:tc>
          <w:tcPr>
            <w:tcW w:type="dxa" w:w="4819"/>
            <w:tcMar>
              <w:top w:type="dxa" w:w="80"/>
              <w:left w:type="dxa" w:w="120"/>
              <w:bottom w:type="dxa" w:w="80"/>
              <w:right w:type="dxa" w:w="120"/>
            </w:tcMar>
          </w:tcPr>
          <w:p>
            <w:pPr>
              <w:spacing w:after="40"/>
              <w:jc w:val="center"/>
            </w:pPr>
            <w:r>
              <w:rPr>
                <w:b/>
                <w:bCs/>
              </w:rPr>
              <w:t xml:space="preserve">FOUNDER</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c>
          <w:tcPr>
            <w:tcW w:type="dxa" w:w="4819"/>
            <w:tcMar>
              <w:top w:type="dxa" w:w="80"/>
              <w:left w:type="dxa" w:w="120"/>
              <w:bottom w:type="dxa" w:w="80"/>
              <w:right w:type="dxa" w:w="120"/>
            </w:tcMar>
          </w:tcPr>
          <w:p>
            <w:pPr>
              <w:spacing w:after="40"/>
              <w:jc w:val="center"/>
            </w:pPr>
            <w:r>
              <w:rPr>
                <w:b/>
                <w:bCs/>
              </w:rPr>
              <w:t xml:space="preserve">FOUNDER</w:t>
            </w:r>
          </w:p>
          <w:p>
            <w:pPr>
              <w:spacing w:after="1100"/>
              <w:jc w:val="center"/>
            </w:pPr>
            <w:r>
              <w:rPr>
                <w:i/>
                <w:iCs/>
                <w:color w:val="5B6577"/>
                <w:sz w:val="20"/>
                <w:szCs w:val="20"/>
              </w:rPr>
              <w:t xml:space="preserve">(Signature, full name)</w:t>
            </w:r>
          </w:p>
          <w:p>
            <w:pPr>
              <w:spacing w:after="240"/>
              <w:jc w:val="center"/>
            </w:pPr>
            <w:r>
              <w:rPr>
                <w:shd w:fill="FBE7DA" w:color="auto" w:val="clear"/>
              </w:rPr>
              <w:t xml:space="preserve">[Name]</w:t>
            </w:r>
          </w:p>
        </w:tc>
      </w:tr>
    </w:tbl>
    <w:p>
      <w:r>
        <w:br w:type="page"/>
      </w:r>
    </w:p>
    <w:p>
      <w:pPr>
        <w:pStyle w:val="Heading1"/>
        <w:keepNext/>
        <w:spacing w:after="120" w:before="280"/>
      </w:pPr>
      <w:r>
        <w:t xml:space="preserve">Appendix. Pro forma cap table and use of proceeds</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600"/>
        <w:gridCol w:w="1800"/>
        <w:gridCol w:w="1500"/>
        <w:gridCol w:w="1938"/>
        <w:gridCol w:w="1800"/>
      </w:tblGrid>
      <w:tr>
        <w:trPr>
          <w:tblHeader/>
        </w:trPr>
        <w:tc>
          <w:tcPr>
            <w:tcW w:type="dxa" w:w="26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Shareholder</w:t>
            </w:r>
          </w:p>
        </w:tc>
        <w:tc>
          <w:tcPr>
            <w:tcW w:type="dxa" w:w="18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Pre-money (shares)</w:t>
            </w:r>
          </w:p>
        </w:tc>
        <w:tc>
          <w:tcPr>
            <w:tcW w:type="dxa" w:w="15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Pre-money (%)</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Post-money (shares)</w:t>
            </w:r>
          </w:p>
        </w:tc>
        <w:tc>
          <w:tcPr>
            <w:tcW w:type="dxa" w:w="18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Post-money (%)</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Founder </w:t>
            </w: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Founder </w:t>
            </w: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SAFE / angel investors</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ESOP pool</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Investors in this round</w:t>
            </w:r>
          </w:p>
        </w:tc>
        <w:tc>
          <w:tcPr>
            <w:tcW w:type="dxa" w:w="18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15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bCs/>
                <w:sz w:val="20"/>
                <w:szCs w:val="20"/>
              </w:rPr>
              <w:t xml:space="preserve">Total</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rPr>
              <w:t xml:space="preserve">100%</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rPr>
              <w:t xml:space="preserve">100%</w:t>
            </w:r>
          </w:p>
        </w:tc>
      </w:tr>
    </w:tbl>
    <w:p>
      <w:pPr>
        <w:spacing w:after="120"/>
      </w:pP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3000"/>
        <w:gridCol w:w="1900"/>
        <w:gridCol w:w="1300"/>
        <w:gridCol w:w="3438"/>
      </w:tblGrid>
      <w:tr>
        <w:trPr>
          <w:tblHeader/>
        </w:trPr>
        <w:tc>
          <w:tcPr>
            <w:tcW w:type="dxa" w:w="30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Use of proceeds</w:t>
            </w:r>
          </w:p>
        </w:tc>
        <w:tc>
          <w:tcPr>
            <w:tcW w:type="dxa" w:w="19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Amount (VND billion)</w:t>
            </w:r>
          </w:p>
        </w:tc>
        <w:tc>
          <w:tcPr>
            <w:tcW w:type="dxa" w:w="13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Share</w:t>
            </w:r>
          </w:p>
        </w:tc>
        <w:tc>
          <w:tcPr>
            <w:tcW w:type="dxa" w:w="34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Milestone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Product development</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Hiring</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Sales and marketing</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Operations and buffer</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bl>
    <w:p>
      <w:pPr>
        <w:spacing w:after="120"/>
      </w:pPr>
    </w:p>
    <w:p>
      <w:pPr>
        <w:spacing w:after="120" w:line="288"/>
        <w:jc w:val="both"/>
      </w:pPr>
      <w:r>
        <w:t xml:space="preserve">Build the post-money cap table with the "Cap table and dilution" tool on fundraising.vn to check the numbers before filling them in.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7"/>
        <w:sz w:val="16"/>
        <w:szCs w:val="16"/>
      </w:rPr>
      <w:t xml:space="preserve">Seed round term sheet template, fundraising.vn, version 1.0 (10/2026)   |   </w:t>
    </w:r>
    <w:r>
      <w:rPr>
        <w:color w:val="5B6577"/>
        <w:sz w:val="16"/>
        <w:szCs w:val="16"/>
      </w:rPr>
      <w:fldChar w:fldCharType="begin"/>
      <w:instrText xml:space="preserve">PAGE</w:instrText>
      <w:fldChar w:fldCharType="separate"/>
      <w:fldChar w:fldCharType="end"/>
    </w:r>
    <w:r>
      <w:rPr>
        <w:color w:val="5B6577"/>
        <w:sz w:val="16"/>
        <w:szCs w:val="16"/>
      </w:rPr>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C2B4A"/>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color w:val="1C2B4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 round term sheet template, fundraising.vn, version 1.0 (10/2026)</dc:title>
  <dc:creator>fundraising.vn</dc:creator>
  <cp:lastModifiedBy>Un-named</cp:lastModifiedBy>
  <cp:revision>1</cp:revision>
  <dcterms:created xsi:type="dcterms:W3CDTF">2026-10-19T09:23:43.248Z</dcterms:created>
  <dcterms:modified xsi:type="dcterms:W3CDTF">2026-10-19T09:23:43.249Z</dcterms:modified>
</cp:coreProperties>
</file>

<file path=docProps/custom.xml><?xml version="1.0" encoding="utf-8"?>
<Properties xmlns="http://schemas.openxmlformats.org/officeDocument/2006/custom-properties" xmlns:vt="http://schemas.openxmlformats.org/officeDocument/2006/docPropsVTypes"/>
</file>