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69DC" w:rsidRPr="00A54D91" w:rsidRDefault="00D169DC" w:rsidP="00D169DC">
      <w:pPr>
        <w:jc w:val="center"/>
        <w:rPr>
          <w:rFonts w:ascii="Arial" w:hAnsi="Arial" w:cs="Arial"/>
          <w:b/>
        </w:rPr>
      </w:pPr>
      <w:r w:rsidRPr="00A54D91">
        <w:rPr>
          <w:noProof/>
          <w:lang w:eastAsia="en-GB"/>
        </w:rPr>
        <w:drawing>
          <wp:inline distT="0" distB="0" distL="0" distR="0" wp14:anchorId="5280C397" wp14:editId="30DC4FD3">
            <wp:extent cx="5199380" cy="744220"/>
            <wp:effectExtent l="0" t="0" r="7620" b="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9380" cy="744220"/>
                    </a:xfrm>
                    <a:prstGeom prst="rect">
                      <a:avLst/>
                    </a:prstGeom>
                    <a:noFill/>
                    <a:ln>
                      <a:noFill/>
                    </a:ln>
                  </pic:spPr>
                </pic:pic>
              </a:graphicData>
            </a:graphic>
          </wp:inline>
        </w:drawing>
      </w:r>
    </w:p>
    <w:p w:rsidR="00D169DC" w:rsidRDefault="00D169DC" w:rsidP="00D169DC">
      <w:pPr>
        <w:jc w:val="both"/>
        <w:rPr>
          <w:rFonts w:cs="Arial"/>
          <w:b/>
        </w:rPr>
      </w:pPr>
    </w:p>
    <w:p w:rsidR="00D169DC" w:rsidRDefault="00D169DC" w:rsidP="00D169DC">
      <w:pPr>
        <w:jc w:val="center"/>
        <w:rPr>
          <w:sz w:val="24"/>
          <w:szCs w:val="24"/>
        </w:rPr>
      </w:pPr>
      <w:r w:rsidRPr="00C95565">
        <w:rPr>
          <w:sz w:val="24"/>
          <w:szCs w:val="24"/>
        </w:rPr>
        <w:t>Board Meet</w:t>
      </w:r>
      <w:r>
        <w:rPr>
          <w:sz w:val="24"/>
          <w:szCs w:val="24"/>
        </w:rPr>
        <w:t>i</w:t>
      </w:r>
      <w:r w:rsidRPr="00C95565">
        <w:rPr>
          <w:sz w:val="24"/>
          <w:szCs w:val="24"/>
        </w:rPr>
        <w:t>ng</w:t>
      </w:r>
      <w:r>
        <w:rPr>
          <w:sz w:val="24"/>
          <w:szCs w:val="24"/>
        </w:rPr>
        <w:t xml:space="preserve"> - </w:t>
      </w:r>
      <w:r w:rsidRPr="00C95565">
        <w:rPr>
          <w:sz w:val="24"/>
          <w:szCs w:val="24"/>
        </w:rPr>
        <w:t>12 June 2020</w:t>
      </w:r>
    </w:p>
    <w:p w:rsidR="00D169DC" w:rsidRPr="00C95565" w:rsidRDefault="00D169DC" w:rsidP="00D169DC">
      <w:pPr>
        <w:jc w:val="center"/>
        <w:rPr>
          <w:sz w:val="24"/>
          <w:szCs w:val="24"/>
        </w:rPr>
      </w:pPr>
    </w:p>
    <w:p w:rsidR="00D169DC" w:rsidRDefault="00D169DC" w:rsidP="00D169DC">
      <w:pPr>
        <w:rPr>
          <w:rFonts w:ascii="Calibri" w:hAnsi="Calibri" w:cs="Calibri"/>
          <w:b/>
        </w:rPr>
      </w:pPr>
      <w:r w:rsidRPr="00D52418">
        <w:rPr>
          <w:rFonts w:ascii="Calibri" w:hAnsi="Calibri" w:cs="Calibri"/>
          <w:b/>
        </w:rPr>
        <w:t>Board Paper No. [</w:t>
      </w:r>
      <w:r>
        <w:rPr>
          <w:rFonts w:ascii="Calibri" w:hAnsi="Calibri" w:cs="Calibri"/>
          <w:b/>
        </w:rPr>
        <w:t>3</w:t>
      </w:r>
      <w:r w:rsidRPr="00D52418">
        <w:rPr>
          <w:rFonts w:ascii="Calibri" w:hAnsi="Calibri" w:cs="Calibri"/>
          <w:b/>
        </w:rPr>
        <w:t>]</w:t>
      </w:r>
    </w:p>
    <w:p w:rsidR="00D169DC" w:rsidRPr="00D52418" w:rsidRDefault="00D169DC" w:rsidP="00D169D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790"/>
      </w:tblGrid>
      <w:tr w:rsidR="00D169DC" w:rsidRPr="00D52418" w:rsidTr="00602961">
        <w:tc>
          <w:tcPr>
            <w:tcW w:w="2952" w:type="dxa"/>
            <w:shd w:val="clear" w:color="auto" w:fill="FFFFFF" w:themeFill="background1"/>
          </w:tcPr>
          <w:p w:rsidR="00D169DC" w:rsidRPr="00155D54" w:rsidRDefault="00D169DC" w:rsidP="00602961">
            <w:pPr>
              <w:spacing w:line="360" w:lineRule="auto"/>
              <w:rPr>
                <w:rFonts w:ascii="Calibri" w:hAnsi="Calibri" w:cs="Calibri"/>
                <w:b/>
                <w:highlight w:val="red"/>
              </w:rPr>
            </w:pPr>
            <w:r>
              <w:rPr>
                <w:rFonts w:ascii="Calibri" w:hAnsi="Calibri" w:cs="Calibri"/>
                <w:b/>
              </w:rPr>
              <w:t>For Decision</w:t>
            </w:r>
          </w:p>
        </w:tc>
        <w:tc>
          <w:tcPr>
            <w:tcW w:w="5790" w:type="dxa"/>
            <w:vMerge w:val="restart"/>
            <w:shd w:val="clear" w:color="auto" w:fill="auto"/>
          </w:tcPr>
          <w:p w:rsidR="00D169DC" w:rsidRPr="00D52418" w:rsidRDefault="00D169DC" w:rsidP="00602961">
            <w:pPr>
              <w:rPr>
                <w:rFonts w:ascii="Calibri" w:hAnsi="Calibri" w:cs="Calibri"/>
                <w:b/>
              </w:rPr>
            </w:pPr>
            <w:r w:rsidRPr="00D52418">
              <w:rPr>
                <w:rFonts w:ascii="Calibri" w:hAnsi="Calibri" w:cs="Calibri"/>
                <w:b/>
              </w:rPr>
              <w:t>Recommendation</w:t>
            </w:r>
          </w:p>
          <w:p w:rsidR="00D169DC" w:rsidRPr="00D52418" w:rsidRDefault="008B5989" w:rsidP="00602961">
            <w:pPr>
              <w:rPr>
                <w:rFonts w:ascii="Calibri" w:hAnsi="Calibri" w:cs="Calibri"/>
                <w:highlight w:val="red"/>
              </w:rPr>
            </w:pPr>
            <w:r>
              <w:rPr>
                <w:rFonts w:ascii="Calibri" w:hAnsi="Calibri" w:cs="Calibri"/>
              </w:rPr>
              <w:t>Board members asked for feedback.</w:t>
            </w:r>
          </w:p>
        </w:tc>
      </w:tr>
      <w:tr w:rsidR="00D169DC" w:rsidRPr="00D52418" w:rsidTr="00602961">
        <w:tc>
          <w:tcPr>
            <w:tcW w:w="2952" w:type="dxa"/>
            <w:shd w:val="clear" w:color="auto" w:fill="FFC000"/>
          </w:tcPr>
          <w:p w:rsidR="00D169DC" w:rsidRPr="00D52418" w:rsidRDefault="00D169DC" w:rsidP="00602961">
            <w:pPr>
              <w:spacing w:line="360" w:lineRule="auto"/>
              <w:rPr>
                <w:rFonts w:ascii="Calibri" w:hAnsi="Calibri" w:cs="Calibri"/>
                <w:b/>
              </w:rPr>
            </w:pPr>
            <w:r w:rsidRPr="00D52418">
              <w:rPr>
                <w:rFonts w:ascii="Calibri" w:hAnsi="Calibri" w:cs="Calibri"/>
                <w:b/>
              </w:rPr>
              <w:t>For Monitoring</w:t>
            </w:r>
          </w:p>
        </w:tc>
        <w:tc>
          <w:tcPr>
            <w:tcW w:w="5790" w:type="dxa"/>
            <w:vMerge/>
            <w:shd w:val="clear" w:color="auto" w:fill="auto"/>
          </w:tcPr>
          <w:p w:rsidR="00D169DC" w:rsidRPr="00D52418" w:rsidRDefault="00D169DC" w:rsidP="00602961">
            <w:pPr>
              <w:spacing w:line="360" w:lineRule="auto"/>
              <w:rPr>
                <w:rFonts w:ascii="Calibri" w:hAnsi="Calibri" w:cs="Calibri"/>
                <w:b/>
                <w:u w:val="single"/>
              </w:rPr>
            </w:pPr>
          </w:p>
        </w:tc>
      </w:tr>
      <w:tr w:rsidR="00D169DC" w:rsidRPr="00D52418" w:rsidTr="00602961">
        <w:tc>
          <w:tcPr>
            <w:tcW w:w="2952" w:type="dxa"/>
            <w:shd w:val="clear" w:color="auto" w:fill="auto"/>
          </w:tcPr>
          <w:p w:rsidR="00D169DC" w:rsidRPr="00D52418" w:rsidRDefault="00D169DC" w:rsidP="00602961">
            <w:pPr>
              <w:spacing w:line="360" w:lineRule="auto"/>
              <w:rPr>
                <w:rFonts w:ascii="Calibri" w:hAnsi="Calibri" w:cs="Calibri"/>
                <w:b/>
              </w:rPr>
            </w:pPr>
            <w:r w:rsidRPr="00D52418">
              <w:rPr>
                <w:rFonts w:ascii="Calibri" w:hAnsi="Calibri" w:cs="Calibri"/>
                <w:b/>
              </w:rPr>
              <w:t>For Information</w:t>
            </w:r>
          </w:p>
        </w:tc>
        <w:tc>
          <w:tcPr>
            <w:tcW w:w="5790" w:type="dxa"/>
            <w:vMerge/>
            <w:shd w:val="clear" w:color="auto" w:fill="auto"/>
          </w:tcPr>
          <w:p w:rsidR="00D169DC" w:rsidRPr="00D52418" w:rsidRDefault="00D169DC" w:rsidP="00602961">
            <w:pPr>
              <w:spacing w:line="360" w:lineRule="auto"/>
              <w:rPr>
                <w:rFonts w:ascii="Calibri" w:hAnsi="Calibri" w:cs="Calibri"/>
                <w:b/>
                <w:u w:val="single"/>
              </w:rPr>
            </w:pPr>
          </w:p>
        </w:tc>
      </w:tr>
    </w:tbl>
    <w:p w:rsidR="00D169DC" w:rsidRDefault="00D169DC" w:rsidP="00D169DC">
      <w:pPr>
        <w:rPr>
          <w:b/>
          <w:u w:val="single"/>
        </w:rPr>
      </w:pPr>
    </w:p>
    <w:p w:rsidR="00AD1DA3" w:rsidRDefault="00AD1DA3" w:rsidP="00AD1DA3">
      <w:pPr>
        <w:spacing w:after="0" w:line="240" w:lineRule="auto"/>
        <w:jc w:val="center"/>
        <w:rPr>
          <w:rFonts w:ascii="Gill Sans MT" w:hAnsi="Gill Sans MT"/>
          <w:b/>
        </w:rPr>
      </w:pPr>
    </w:p>
    <w:p w:rsidR="00D169DC" w:rsidRDefault="00D169DC" w:rsidP="00AD1DA3">
      <w:pPr>
        <w:spacing w:after="0" w:line="240" w:lineRule="auto"/>
        <w:jc w:val="center"/>
        <w:rPr>
          <w:rFonts w:ascii="Gill Sans MT" w:hAnsi="Gill Sans MT"/>
          <w:b/>
        </w:rPr>
      </w:pPr>
    </w:p>
    <w:p w:rsidR="00D169DC" w:rsidRDefault="00D169DC" w:rsidP="00AD1DA3">
      <w:pPr>
        <w:spacing w:after="0" w:line="240" w:lineRule="auto"/>
        <w:jc w:val="center"/>
        <w:rPr>
          <w:rFonts w:ascii="Gill Sans MT" w:hAnsi="Gill Sans MT"/>
          <w:b/>
        </w:rPr>
      </w:pPr>
    </w:p>
    <w:p w:rsidR="00AD1DA3" w:rsidRDefault="00AD1DA3" w:rsidP="00AD1DA3">
      <w:pPr>
        <w:spacing w:after="0" w:line="240" w:lineRule="auto"/>
        <w:jc w:val="center"/>
        <w:rPr>
          <w:rFonts w:ascii="Gill Sans MT" w:hAnsi="Gill Sans MT"/>
          <w:b/>
        </w:rPr>
      </w:pPr>
    </w:p>
    <w:p w:rsidR="00AD1DA3" w:rsidRDefault="00AD1DA3" w:rsidP="00AD1DA3">
      <w:pPr>
        <w:spacing w:after="0" w:line="240" w:lineRule="auto"/>
        <w:jc w:val="center"/>
        <w:rPr>
          <w:rFonts w:ascii="Gill Sans MT" w:hAnsi="Gill Sans MT"/>
          <w:b/>
        </w:rPr>
      </w:pPr>
    </w:p>
    <w:p w:rsidR="00AD1DA3" w:rsidRDefault="00AD1DA3" w:rsidP="00AD1DA3">
      <w:pPr>
        <w:spacing w:after="0" w:line="240" w:lineRule="auto"/>
        <w:jc w:val="center"/>
        <w:rPr>
          <w:rFonts w:ascii="Gill Sans MT" w:hAnsi="Gill Sans MT"/>
          <w:b/>
        </w:rPr>
      </w:pPr>
    </w:p>
    <w:p w:rsidR="00AD1DA3" w:rsidRPr="009B68B0" w:rsidRDefault="00AD1DA3" w:rsidP="00AD1DA3">
      <w:pPr>
        <w:jc w:val="center"/>
        <w:rPr>
          <w:color w:val="000000" w:themeColor="text1"/>
        </w:rPr>
      </w:pPr>
      <w:r w:rsidRPr="009B68B0">
        <w:rPr>
          <w:rFonts w:cs="Times New Roman"/>
          <w:noProof/>
          <w:color w:val="000000" w:themeColor="text1"/>
          <w:lang w:eastAsia="en-GB"/>
        </w:rPr>
        <w:lastRenderedPageBreak/>
        <w:drawing>
          <wp:inline distT="0" distB="0" distL="0" distR="0" wp14:anchorId="531767AF" wp14:editId="43F17B57">
            <wp:extent cx="3139156" cy="2218951"/>
            <wp:effectExtent l="0" t="0" r="0" b="0"/>
            <wp:docPr id="3" name="Picture 3" descr="OSS%20brand%20guidelines%20and%20publications/OSS%20logo%20m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20brand%20guidelines%20and%20publications/OSS%20logo%20main.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410" cy="2248819"/>
                    </a:xfrm>
                    <a:prstGeom prst="rect">
                      <a:avLst/>
                    </a:prstGeom>
                    <a:noFill/>
                    <a:ln>
                      <a:noFill/>
                    </a:ln>
                  </pic:spPr>
                </pic:pic>
              </a:graphicData>
            </a:graphic>
          </wp:inline>
        </w:drawing>
      </w:r>
    </w:p>
    <w:p w:rsidR="00AD1DA3" w:rsidRPr="009B68B0" w:rsidRDefault="00AD1DA3" w:rsidP="00AD1DA3">
      <w:pPr>
        <w:jc w:val="center"/>
        <w:rPr>
          <w:color w:val="000000" w:themeColor="text1"/>
        </w:rPr>
      </w:pPr>
    </w:p>
    <w:p w:rsidR="00AD1DA3" w:rsidRPr="009B68B0" w:rsidRDefault="00AD1DA3" w:rsidP="00AD1DA3">
      <w:pPr>
        <w:jc w:val="center"/>
        <w:rPr>
          <w:color w:val="000000" w:themeColor="text1"/>
        </w:rPr>
      </w:pPr>
    </w:p>
    <w:p w:rsidR="00AD1DA3" w:rsidRPr="009B68B0" w:rsidRDefault="00AD1DA3" w:rsidP="00AD1DA3">
      <w:pPr>
        <w:jc w:val="center"/>
        <w:rPr>
          <w:b/>
          <w:color w:val="000000" w:themeColor="text1"/>
          <w:sz w:val="40"/>
          <w:szCs w:val="40"/>
        </w:rPr>
      </w:pPr>
    </w:p>
    <w:p w:rsidR="00AD1DA3" w:rsidRPr="006718FE" w:rsidRDefault="00AD1DA3" w:rsidP="00AD1DA3">
      <w:pPr>
        <w:jc w:val="center"/>
        <w:rPr>
          <w:b/>
          <w:sz w:val="40"/>
          <w:szCs w:val="40"/>
        </w:rPr>
      </w:pPr>
      <w:r>
        <w:rPr>
          <w:b/>
          <w:sz w:val="40"/>
          <w:szCs w:val="40"/>
        </w:rPr>
        <w:t xml:space="preserve">FUNDRAISING </w:t>
      </w:r>
      <w:r w:rsidRPr="009B68B0">
        <w:rPr>
          <w:b/>
          <w:sz w:val="40"/>
          <w:szCs w:val="40"/>
        </w:rPr>
        <w:t>STRATEGY</w:t>
      </w:r>
    </w:p>
    <w:p w:rsidR="00AD1DA3" w:rsidRDefault="00AD1DA3" w:rsidP="00AD1DA3">
      <w:pPr>
        <w:jc w:val="center"/>
        <w:rPr>
          <w:b/>
          <w:color w:val="000000" w:themeColor="text1"/>
          <w:sz w:val="40"/>
          <w:szCs w:val="40"/>
        </w:rPr>
      </w:pPr>
      <w:r>
        <w:rPr>
          <w:b/>
          <w:color w:val="000000" w:themeColor="text1"/>
          <w:sz w:val="40"/>
          <w:szCs w:val="40"/>
        </w:rPr>
        <w:t>2020-2023</w:t>
      </w:r>
    </w:p>
    <w:p w:rsidR="00AD1DA3" w:rsidRDefault="00AD1DA3" w:rsidP="00AD1DA3">
      <w:pPr>
        <w:jc w:val="center"/>
        <w:rPr>
          <w:b/>
          <w:color w:val="000000" w:themeColor="text1"/>
          <w:sz w:val="40"/>
          <w:szCs w:val="40"/>
        </w:rPr>
      </w:pPr>
    </w:p>
    <w:p w:rsidR="00AD1DA3" w:rsidRPr="00391A15" w:rsidRDefault="00AD1DA3" w:rsidP="00AD1DA3">
      <w:pPr>
        <w:jc w:val="center"/>
        <w:rPr>
          <w:b/>
          <w:color w:val="000000" w:themeColor="text1"/>
          <w:sz w:val="40"/>
          <w:szCs w:val="40"/>
        </w:rPr>
      </w:pPr>
    </w:p>
    <w:p w:rsidR="00AD1DA3" w:rsidRPr="009B68B0" w:rsidRDefault="00AD1DA3" w:rsidP="00AD1DA3">
      <w:pPr>
        <w:jc w:val="center"/>
        <w:rPr>
          <w:b/>
          <w:sz w:val="28"/>
          <w:szCs w:val="28"/>
        </w:rPr>
      </w:pPr>
      <w:r w:rsidRPr="009B68B0">
        <w:rPr>
          <w:b/>
          <w:sz w:val="28"/>
          <w:szCs w:val="28"/>
        </w:rPr>
        <w:t>THE OBSERVATORY FOR SPORT IN SCOTLAND</w:t>
      </w:r>
    </w:p>
    <w:p w:rsidR="00AD1DA3" w:rsidRPr="009B68B0" w:rsidRDefault="00AD1DA3" w:rsidP="00AD1DA3">
      <w:pPr>
        <w:jc w:val="center"/>
        <w:rPr>
          <w:b/>
          <w:sz w:val="28"/>
          <w:szCs w:val="28"/>
        </w:rPr>
      </w:pPr>
    </w:p>
    <w:p w:rsidR="00AD1DA3" w:rsidRPr="009B68B0" w:rsidRDefault="00AD1DA3" w:rsidP="00AD1DA3">
      <w:pPr>
        <w:jc w:val="center"/>
        <w:rPr>
          <w:b/>
          <w:sz w:val="28"/>
          <w:szCs w:val="28"/>
        </w:rPr>
      </w:pPr>
      <w:r>
        <w:rPr>
          <w:b/>
          <w:sz w:val="28"/>
          <w:szCs w:val="28"/>
        </w:rPr>
        <w:lastRenderedPageBreak/>
        <w:t>FUNDRAISING</w:t>
      </w:r>
      <w:r w:rsidRPr="009B68B0">
        <w:rPr>
          <w:b/>
          <w:sz w:val="28"/>
          <w:szCs w:val="28"/>
        </w:rPr>
        <w:t xml:space="preserve"> STRATEGY</w:t>
      </w:r>
    </w:p>
    <w:p w:rsidR="00AD1DA3" w:rsidRPr="009B68B0" w:rsidRDefault="00AD1DA3" w:rsidP="00AD1DA3">
      <w:pPr>
        <w:jc w:val="center"/>
        <w:rPr>
          <w:b/>
          <w:sz w:val="28"/>
          <w:szCs w:val="28"/>
        </w:rPr>
      </w:pPr>
    </w:p>
    <w:p w:rsidR="00AD1DA3" w:rsidRPr="00034511" w:rsidRDefault="00AD1DA3" w:rsidP="00AD1DA3">
      <w:pPr>
        <w:jc w:val="center"/>
        <w:rPr>
          <w:b/>
          <w:sz w:val="28"/>
          <w:szCs w:val="28"/>
        </w:rPr>
      </w:pPr>
      <w:r w:rsidRPr="009B68B0">
        <w:rPr>
          <w:b/>
          <w:sz w:val="28"/>
          <w:szCs w:val="28"/>
        </w:rPr>
        <w:t>20</w:t>
      </w:r>
      <w:r>
        <w:rPr>
          <w:b/>
          <w:sz w:val="28"/>
          <w:szCs w:val="28"/>
        </w:rPr>
        <w:t>20</w:t>
      </w:r>
      <w:r w:rsidRPr="009B68B0">
        <w:rPr>
          <w:b/>
          <w:sz w:val="28"/>
          <w:szCs w:val="28"/>
        </w:rPr>
        <w:t>-202</w:t>
      </w:r>
      <w:r>
        <w:rPr>
          <w:b/>
          <w:sz w:val="28"/>
          <w:szCs w:val="28"/>
        </w:rPr>
        <w:t>3</w:t>
      </w:r>
    </w:p>
    <w:p w:rsidR="00AD1DA3" w:rsidRDefault="00AD1DA3" w:rsidP="00AD1DA3">
      <w:pPr>
        <w:rPr>
          <w:rFonts w:ascii="Gill Sans MT" w:hAnsi="Gill Sans MT"/>
          <w:b/>
        </w:rPr>
      </w:pPr>
    </w:p>
    <w:sdt>
      <w:sdtPr>
        <w:rPr>
          <w:rFonts w:asciiTheme="minorHAnsi" w:eastAsiaTheme="minorHAnsi" w:hAnsiTheme="minorHAnsi" w:cstheme="minorBidi"/>
          <w:color w:val="auto"/>
          <w:sz w:val="22"/>
          <w:szCs w:val="22"/>
          <w:lang w:val="en-GB"/>
        </w:rPr>
        <w:id w:val="-266313279"/>
        <w:docPartObj>
          <w:docPartGallery w:val="Table of Contents"/>
          <w:docPartUnique/>
        </w:docPartObj>
      </w:sdtPr>
      <w:sdtEndPr>
        <w:rPr>
          <w:b/>
          <w:bCs/>
          <w:noProof/>
        </w:rPr>
      </w:sdtEndPr>
      <w:sdtContent>
        <w:p w:rsidR="00AD1DA3" w:rsidRDefault="00AD1DA3" w:rsidP="00AD1DA3">
          <w:pPr>
            <w:pStyle w:val="TOCHeading"/>
          </w:pPr>
          <w:r>
            <w:t>Contents</w:t>
          </w:r>
        </w:p>
        <w:p w:rsidR="00E34E90" w:rsidRDefault="00AD1DA3">
          <w:pPr>
            <w:pStyle w:val="TOC2"/>
            <w:tabs>
              <w:tab w:val="right" w:leader="dot" w:pos="13948"/>
            </w:tabs>
            <w:rPr>
              <w:rFonts w:eastAsiaTheme="minorEastAsia"/>
              <w:noProof/>
              <w:sz w:val="24"/>
              <w:szCs w:val="24"/>
              <w:lang w:eastAsia="en-GB"/>
            </w:rPr>
          </w:pPr>
          <w:r>
            <w:rPr>
              <w:b/>
              <w:bCs/>
              <w:noProof/>
            </w:rPr>
            <w:fldChar w:fldCharType="begin"/>
          </w:r>
          <w:r>
            <w:rPr>
              <w:b/>
              <w:bCs/>
              <w:noProof/>
            </w:rPr>
            <w:instrText xml:space="preserve"> TOC \o "1-3" \h \z \u </w:instrText>
          </w:r>
          <w:r>
            <w:rPr>
              <w:b/>
              <w:bCs/>
              <w:noProof/>
            </w:rPr>
            <w:fldChar w:fldCharType="separate"/>
          </w:r>
          <w:hyperlink w:anchor="_Toc41610202" w:history="1">
            <w:r w:rsidR="00E34E90" w:rsidRPr="000B3D2D">
              <w:rPr>
                <w:rStyle w:val="Hyperlink"/>
                <w:rFonts w:ascii="Gill Sans MT" w:hAnsi="Gill Sans MT"/>
                <w:b/>
                <w:noProof/>
              </w:rPr>
              <w:t>Introduction</w:t>
            </w:r>
            <w:r w:rsidR="00E34E90">
              <w:rPr>
                <w:noProof/>
                <w:webHidden/>
              </w:rPr>
              <w:tab/>
            </w:r>
            <w:r w:rsidR="00E34E90">
              <w:rPr>
                <w:noProof/>
                <w:webHidden/>
              </w:rPr>
              <w:fldChar w:fldCharType="begin"/>
            </w:r>
            <w:r w:rsidR="00E34E90">
              <w:rPr>
                <w:noProof/>
                <w:webHidden/>
              </w:rPr>
              <w:instrText xml:space="preserve"> PAGEREF _Toc41610202 \h </w:instrText>
            </w:r>
            <w:r w:rsidR="00E34E90">
              <w:rPr>
                <w:noProof/>
                <w:webHidden/>
              </w:rPr>
            </w:r>
            <w:r w:rsidR="00E34E90">
              <w:rPr>
                <w:noProof/>
                <w:webHidden/>
              </w:rPr>
              <w:fldChar w:fldCharType="separate"/>
            </w:r>
            <w:r w:rsidR="00E34E90">
              <w:rPr>
                <w:noProof/>
                <w:webHidden/>
              </w:rPr>
              <w:t>3</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03" w:history="1">
            <w:r w:rsidR="00E34E90" w:rsidRPr="000B3D2D">
              <w:rPr>
                <w:rStyle w:val="Hyperlink"/>
                <w:rFonts w:ascii="Gill Sans MT" w:hAnsi="Gill Sans MT"/>
                <w:b/>
                <w:noProof/>
              </w:rPr>
              <w:t>OSS – A Brief History and Context</w:t>
            </w:r>
            <w:r w:rsidR="00E34E90">
              <w:rPr>
                <w:noProof/>
                <w:webHidden/>
              </w:rPr>
              <w:tab/>
            </w:r>
            <w:r w:rsidR="00E34E90">
              <w:rPr>
                <w:noProof/>
                <w:webHidden/>
              </w:rPr>
              <w:fldChar w:fldCharType="begin"/>
            </w:r>
            <w:r w:rsidR="00E34E90">
              <w:rPr>
                <w:noProof/>
                <w:webHidden/>
              </w:rPr>
              <w:instrText xml:space="preserve"> PAGEREF _Toc41610203 \h </w:instrText>
            </w:r>
            <w:r w:rsidR="00E34E90">
              <w:rPr>
                <w:noProof/>
                <w:webHidden/>
              </w:rPr>
            </w:r>
            <w:r w:rsidR="00E34E90">
              <w:rPr>
                <w:noProof/>
                <w:webHidden/>
              </w:rPr>
              <w:fldChar w:fldCharType="separate"/>
            </w:r>
            <w:r w:rsidR="00E34E90">
              <w:rPr>
                <w:noProof/>
                <w:webHidden/>
              </w:rPr>
              <w:t>4</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04" w:history="1">
            <w:r w:rsidR="00E34E90" w:rsidRPr="000B3D2D">
              <w:rPr>
                <w:rStyle w:val="Hyperlink"/>
                <w:rFonts w:ascii="Gill Sans MT" w:hAnsi="Gill Sans MT"/>
                <w:b/>
                <w:noProof/>
              </w:rPr>
              <w:t>OSS – The Fundraising Challenge</w:t>
            </w:r>
            <w:r w:rsidR="00E34E90">
              <w:rPr>
                <w:noProof/>
                <w:webHidden/>
              </w:rPr>
              <w:tab/>
            </w:r>
            <w:r w:rsidR="00E34E90">
              <w:rPr>
                <w:noProof/>
                <w:webHidden/>
              </w:rPr>
              <w:fldChar w:fldCharType="begin"/>
            </w:r>
            <w:r w:rsidR="00E34E90">
              <w:rPr>
                <w:noProof/>
                <w:webHidden/>
              </w:rPr>
              <w:instrText xml:space="preserve"> PAGEREF _Toc41610204 \h </w:instrText>
            </w:r>
            <w:r w:rsidR="00E34E90">
              <w:rPr>
                <w:noProof/>
                <w:webHidden/>
              </w:rPr>
            </w:r>
            <w:r w:rsidR="00E34E90">
              <w:rPr>
                <w:noProof/>
                <w:webHidden/>
              </w:rPr>
              <w:fldChar w:fldCharType="separate"/>
            </w:r>
            <w:r w:rsidR="00E34E90">
              <w:rPr>
                <w:noProof/>
                <w:webHidden/>
              </w:rPr>
              <w:t>5</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05" w:history="1">
            <w:r w:rsidR="00E34E90" w:rsidRPr="000B3D2D">
              <w:rPr>
                <w:rStyle w:val="Hyperlink"/>
                <w:rFonts w:ascii="Gill Sans MT" w:hAnsi="Gill Sans MT"/>
                <w:b/>
                <w:noProof/>
              </w:rPr>
              <w:t>Developing a Positive Fundraising Culture at OSS</w:t>
            </w:r>
            <w:r w:rsidR="00E34E90">
              <w:rPr>
                <w:noProof/>
                <w:webHidden/>
              </w:rPr>
              <w:tab/>
            </w:r>
            <w:r w:rsidR="00E34E90">
              <w:rPr>
                <w:noProof/>
                <w:webHidden/>
              </w:rPr>
              <w:fldChar w:fldCharType="begin"/>
            </w:r>
            <w:r w:rsidR="00E34E90">
              <w:rPr>
                <w:noProof/>
                <w:webHidden/>
              </w:rPr>
              <w:instrText xml:space="preserve"> PAGEREF _Toc41610205 \h </w:instrText>
            </w:r>
            <w:r w:rsidR="00E34E90">
              <w:rPr>
                <w:noProof/>
                <w:webHidden/>
              </w:rPr>
            </w:r>
            <w:r w:rsidR="00E34E90">
              <w:rPr>
                <w:noProof/>
                <w:webHidden/>
              </w:rPr>
              <w:fldChar w:fldCharType="separate"/>
            </w:r>
            <w:r w:rsidR="00E34E90">
              <w:rPr>
                <w:noProof/>
                <w:webHidden/>
              </w:rPr>
              <w:t>5</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06" w:history="1">
            <w:r w:rsidR="00E34E90" w:rsidRPr="000B3D2D">
              <w:rPr>
                <w:rStyle w:val="Hyperlink"/>
                <w:rFonts w:ascii="Gill Sans MT" w:hAnsi="Gill Sans MT"/>
                <w:b/>
                <w:noProof/>
              </w:rPr>
              <w:t>Individual Giving Strategy</w:t>
            </w:r>
            <w:r w:rsidR="00E34E90">
              <w:rPr>
                <w:noProof/>
                <w:webHidden/>
              </w:rPr>
              <w:tab/>
            </w:r>
            <w:r w:rsidR="00E34E90">
              <w:rPr>
                <w:noProof/>
                <w:webHidden/>
              </w:rPr>
              <w:fldChar w:fldCharType="begin"/>
            </w:r>
            <w:r w:rsidR="00E34E90">
              <w:rPr>
                <w:noProof/>
                <w:webHidden/>
              </w:rPr>
              <w:instrText xml:space="preserve"> PAGEREF _Toc41610206 \h </w:instrText>
            </w:r>
            <w:r w:rsidR="00E34E90">
              <w:rPr>
                <w:noProof/>
                <w:webHidden/>
              </w:rPr>
            </w:r>
            <w:r w:rsidR="00E34E90">
              <w:rPr>
                <w:noProof/>
                <w:webHidden/>
              </w:rPr>
              <w:fldChar w:fldCharType="separate"/>
            </w:r>
            <w:r w:rsidR="00E34E90">
              <w:rPr>
                <w:noProof/>
                <w:webHidden/>
              </w:rPr>
              <w:t>7</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07" w:history="1">
            <w:r w:rsidR="00E34E90" w:rsidRPr="000B3D2D">
              <w:rPr>
                <w:rStyle w:val="Hyperlink"/>
                <w:rFonts w:ascii="Gill Sans MT" w:hAnsi="Gill Sans MT"/>
                <w:b/>
                <w:noProof/>
              </w:rPr>
              <w:t>Major Donor Strategy</w:t>
            </w:r>
            <w:r w:rsidR="00E34E90">
              <w:rPr>
                <w:noProof/>
                <w:webHidden/>
              </w:rPr>
              <w:tab/>
            </w:r>
            <w:r w:rsidR="00E34E90">
              <w:rPr>
                <w:noProof/>
                <w:webHidden/>
              </w:rPr>
              <w:fldChar w:fldCharType="begin"/>
            </w:r>
            <w:r w:rsidR="00E34E90">
              <w:rPr>
                <w:noProof/>
                <w:webHidden/>
              </w:rPr>
              <w:instrText xml:space="preserve"> PAGEREF _Toc41610207 \h </w:instrText>
            </w:r>
            <w:r w:rsidR="00E34E90">
              <w:rPr>
                <w:noProof/>
                <w:webHidden/>
              </w:rPr>
            </w:r>
            <w:r w:rsidR="00E34E90">
              <w:rPr>
                <w:noProof/>
                <w:webHidden/>
              </w:rPr>
              <w:fldChar w:fldCharType="separate"/>
            </w:r>
            <w:r w:rsidR="00E34E90">
              <w:rPr>
                <w:noProof/>
                <w:webHidden/>
              </w:rPr>
              <w:t>9</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08" w:history="1">
            <w:r w:rsidR="00E34E90" w:rsidRPr="000B3D2D">
              <w:rPr>
                <w:rStyle w:val="Hyperlink"/>
                <w:rFonts w:ascii="Gill Sans MT" w:hAnsi="Gill Sans MT"/>
                <w:b/>
                <w:noProof/>
              </w:rPr>
              <w:t>Corporate Fundraising Strategy</w:t>
            </w:r>
            <w:r w:rsidR="00E34E90">
              <w:rPr>
                <w:noProof/>
                <w:webHidden/>
              </w:rPr>
              <w:tab/>
            </w:r>
            <w:r w:rsidR="00E34E90">
              <w:rPr>
                <w:noProof/>
                <w:webHidden/>
              </w:rPr>
              <w:fldChar w:fldCharType="begin"/>
            </w:r>
            <w:r w:rsidR="00E34E90">
              <w:rPr>
                <w:noProof/>
                <w:webHidden/>
              </w:rPr>
              <w:instrText xml:space="preserve"> PAGEREF _Toc41610208 \h </w:instrText>
            </w:r>
            <w:r w:rsidR="00E34E90">
              <w:rPr>
                <w:noProof/>
                <w:webHidden/>
              </w:rPr>
            </w:r>
            <w:r w:rsidR="00E34E90">
              <w:rPr>
                <w:noProof/>
                <w:webHidden/>
              </w:rPr>
              <w:fldChar w:fldCharType="separate"/>
            </w:r>
            <w:r w:rsidR="00E34E90">
              <w:rPr>
                <w:noProof/>
                <w:webHidden/>
              </w:rPr>
              <w:t>11</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09" w:history="1">
            <w:r w:rsidR="00E34E90" w:rsidRPr="000B3D2D">
              <w:rPr>
                <w:rStyle w:val="Hyperlink"/>
                <w:rFonts w:ascii="Gill Sans MT" w:hAnsi="Gill Sans MT"/>
                <w:b/>
                <w:bCs/>
                <w:noProof/>
              </w:rPr>
              <w:t>Trust and Foundation Fundraising Strategy</w:t>
            </w:r>
            <w:r w:rsidR="00E34E90">
              <w:rPr>
                <w:noProof/>
                <w:webHidden/>
              </w:rPr>
              <w:tab/>
            </w:r>
            <w:r w:rsidR="00E34E90">
              <w:rPr>
                <w:noProof/>
                <w:webHidden/>
              </w:rPr>
              <w:fldChar w:fldCharType="begin"/>
            </w:r>
            <w:r w:rsidR="00E34E90">
              <w:rPr>
                <w:noProof/>
                <w:webHidden/>
              </w:rPr>
              <w:instrText xml:space="preserve"> PAGEREF _Toc41610209 \h </w:instrText>
            </w:r>
            <w:r w:rsidR="00E34E90">
              <w:rPr>
                <w:noProof/>
                <w:webHidden/>
              </w:rPr>
            </w:r>
            <w:r w:rsidR="00E34E90">
              <w:rPr>
                <w:noProof/>
                <w:webHidden/>
              </w:rPr>
              <w:fldChar w:fldCharType="separate"/>
            </w:r>
            <w:r w:rsidR="00E34E90">
              <w:rPr>
                <w:noProof/>
                <w:webHidden/>
              </w:rPr>
              <w:t>13</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10" w:history="1">
            <w:r w:rsidR="00E34E90" w:rsidRPr="000B3D2D">
              <w:rPr>
                <w:rStyle w:val="Hyperlink"/>
                <w:rFonts w:ascii="Gill Sans MT" w:hAnsi="Gill Sans MT"/>
                <w:b/>
                <w:noProof/>
              </w:rPr>
              <w:t>Effective Stewardship</w:t>
            </w:r>
            <w:r w:rsidR="00E34E90">
              <w:rPr>
                <w:noProof/>
                <w:webHidden/>
              </w:rPr>
              <w:tab/>
            </w:r>
            <w:r w:rsidR="00E34E90">
              <w:rPr>
                <w:noProof/>
                <w:webHidden/>
              </w:rPr>
              <w:fldChar w:fldCharType="begin"/>
            </w:r>
            <w:r w:rsidR="00E34E90">
              <w:rPr>
                <w:noProof/>
                <w:webHidden/>
              </w:rPr>
              <w:instrText xml:space="preserve"> PAGEREF _Toc41610210 \h </w:instrText>
            </w:r>
            <w:r w:rsidR="00E34E90">
              <w:rPr>
                <w:noProof/>
                <w:webHidden/>
              </w:rPr>
            </w:r>
            <w:r w:rsidR="00E34E90">
              <w:rPr>
                <w:noProof/>
                <w:webHidden/>
              </w:rPr>
              <w:fldChar w:fldCharType="separate"/>
            </w:r>
            <w:r w:rsidR="00E34E90">
              <w:rPr>
                <w:noProof/>
                <w:webHidden/>
              </w:rPr>
              <w:t>14</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11" w:history="1">
            <w:r w:rsidR="00E34E90" w:rsidRPr="000B3D2D">
              <w:rPr>
                <w:rStyle w:val="Hyperlink"/>
                <w:rFonts w:ascii="Gill Sans MT" w:hAnsi="Gill Sans MT"/>
                <w:b/>
                <w:noProof/>
              </w:rPr>
              <w:t>Budget and Resource</w:t>
            </w:r>
            <w:r w:rsidR="00E34E90">
              <w:rPr>
                <w:noProof/>
                <w:webHidden/>
              </w:rPr>
              <w:tab/>
            </w:r>
            <w:r w:rsidR="00E34E90">
              <w:rPr>
                <w:noProof/>
                <w:webHidden/>
              </w:rPr>
              <w:fldChar w:fldCharType="begin"/>
            </w:r>
            <w:r w:rsidR="00E34E90">
              <w:rPr>
                <w:noProof/>
                <w:webHidden/>
              </w:rPr>
              <w:instrText xml:space="preserve"> PAGEREF _Toc41610211 \h </w:instrText>
            </w:r>
            <w:r w:rsidR="00E34E90">
              <w:rPr>
                <w:noProof/>
                <w:webHidden/>
              </w:rPr>
            </w:r>
            <w:r w:rsidR="00E34E90">
              <w:rPr>
                <w:noProof/>
                <w:webHidden/>
              </w:rPr>
              <w:fldChar w:fldCharType="separate"/>
            </w:r>
            <w:r w:rsidR="00E34E90">
              <w:rPr>
                <w:noProof/>
                <w:webHidden/>
              </w:rPr>
              <w:t>15</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12" w:history="1">
            <w:r w:rsidR="00E34E90" w:rsidRPr="000B3D2D">
              <w:rPr>
                <w:rStyle w:val="Hyperlink"/>
                <w:rFonts w:ascii="Gill Sans MT" w:hAnsi="Gill Sans MT"/>
                <w:b/>
                <w:noProof/>
              </w:rPr>
              <w:t>Monitoring and Evaluation</w:t>
            </w:r>
            <w:r w:rsidR="00E34E90">
              <w:rPr>
                <w:noProof/>
                <w:webHidden/>
              </w:rPr>
              <w:tab/>
            </w:r>
            <w:r w:rsidR="00E34E90">
              <w:rPr>
                <w:noProof/>
                <w:webHidden/>
              </w:rPr>
              <w:fldChar w:fldCharType="begin"/>
            </w:r>
            <w:r w:rsidR="00E34E90">
              <w:rPr>
                <w:noProof/>
                <w:webHidden/>
              </w:rPr>
              <w:instrText xml:space="preserve"> PAGEREF _Toc41610212 \h </w:instrText>
            </w:r>
            <w:r w:rsidR="00E34E90">
              <w:rPr>
                <w:noProof/>
                <w:webHidden/>
              </w:rPr>
            </w:r>
            <w:r w:rsidR="00E34E90">
              <w:rPr>
                <w:noProof/>
                <w:webHidden/>
              </w:rPr>
              <w:fldChar w:fldCharType="separate"/>
            </w:r>
            <w:r w:rsidR="00E34E90">
              <w:rPr>
                <w:noProof/>
                <w:webHidden/>
              </w:rPr>
              <w:t>16</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13" w:history="1">
            <w:r w:rsidR="00E34E90" w:rsidRPr="000B3D2D">
              <w:rPr>
                <w:rStyle w:val="Hyperlink"/>
                <w:rFonts w:ascii="Gill Sans MT" w:hAnsi="Gill Sans MT"/>
                <w:b/>
                <w:noProof/>
              </w:rPr>
              <w:t>Appendix One – Stewardship Protocols</w:t>
            </w:r>
            <w:r w:rsidR="00E34E90">
              <w:rPr>
                <w:noProof/>
                <w:webHidden/>
              </w:rPr>
              <w:tab/>
            </w:r>
            <w:r w:rsidR="00E34E90">
              <w:rPr>
                <w:noProof/>
                <w:webHidden/>
              </w:rPr>
              <w:fldChar w:fldCharType="begin"/>
            </w:r>
            <w:r w:rsidR="00E34E90">
              <w:rPr>
                <w:noProof/>
                <w:webHidden/>
              </w:rPr>
              <w:instrText xml:space="preserve"> PAGEREF _Toc41610213 \h </w:instrText>
            </w:r>
            <w:r w:rsidR="00E34E90">
              <w:rPr>
                <w:noProof/>
                <w:webHidden/>
              </w:rPr>
            </w:r>
            <w:r w:rsidR="00E34E90">
              <w:rPr>
                <w:noProof/>
                <w:webHidden/>
              </w:rPr>
              <w:fldChar w:fldCharType="separate"/>
            </w:r>
            <w:r w:rsidR="00E34E90">
              <w:rPr>
                <w:noProof/>
                <w:webHidden/>
              </w:rPr>
              <w:t>17</w:t>
            </w:r>
            <w:r w:rsidR="00E34E90">
              <w:rPr>
                <w:noProof/>
                <w:webHidden/>
              </w:rPr>
              <w:fldChar w:fldCharType="end"/>
            </w:r>
          </w:hyperlink>
        </w:p>
        <w:p w:rsidR="00E34E90" w:rsidRDefault="007A5653">
          <w:pPr>
            <w:pStyle w:val="TOC2"/>
            <w:tabs>
              <w:tab w:val="right" w:leader="dot" w:pos="13948"/>
            </w:tabs>
            <w:rPr>
              <w:rFonts w:eastAsiaTheme="minorEastAsia"/>
              <w:noProof/>
              <w:sz w:val="24"/>
              <w:szCs w:val="24"/>
              <w:lang w:eastAsia="en-GB"/>
            </w:rPr>
          </w:pPr>
          <w:hyperlink w:anchor="_Toc41610214" w:history="1">
            <w:r w:rsidR="00E34E90" w:rsidRPr="000B3D2D">
              <w:rPr>
                <w:rStyle w:val="Hyperlink"/>
                <w:rFonts w:ascii="Gill Sans MT" w:hAnsi="Gill Sans MT"/>
                <w:b/>
                <w:noProof/>
              </w:rPr>
              <w:t>Appendix Two – Gift Aid and Benefits</w:t>
            </w:r>
            <w:r w:rsidR="00E34E90">
              <w:rPr>
                <w:noProof/>
                <w:webHidden/>
              </w:rPr>
              <w:tab/>
            </w:r>
            <w:r w:rsidR="00E34E90">
              <w:rPr>
                <w:noProof/>
                <w:webHidden/>
              </w:rPr>
              <w:fldChar w:fldCharType="begin"/>
            </w:r>
            <w:r w:rsidR="00E34E90">
              <w:rPr>
                <w:noProof/>
                <w:webHidden/>
              </w:rPr>
              <w:instrText xml:space="preserve"> PAGEREF _Toc41610214 \h </w:instrText>
            </w:r>
            <w:r w:rsidR="00E34E90">
              <w:rPr>
                <w:noProof/>
                <w:webHidden/>
              </w:rPr>
            </w:r>
            <w:r w:rsidR="00E34E90">
              <w:rPr>
                <w:noProof/>
                <w:webHidden/>
              </w:rPr>
              <w:fldChar w:fldCharType="separate"/>
            </w:r>
            <w:r w:rsidR="00E34E90">
              <w:rPr>
                <w:noProof/>
                <w:webHidden/>
              </w:rPr>
              <w:t>19</w:t>
            </w:r>
            <w:r w:rsidR="00E34E90">
              <w:rPr>
                <w:noProof/>
                <w:webHidden/>
              </w:rPr>
              <w:fldChar w:fldCharType="end"/>
            </w:r>
          </w:hyperlink>
        </w:p>
        <w:p w:rsidR="00AD1DA3" w:rsidRDefault="00AD1DA3" w:rsidP="00AD1DA3">
          <w:r>
            <w:rPr>
              <w:b/>
              <w:bCs/>
              <w:noProof/>
            </w:rPr>
            <w:fldChar w:fldCharType="end"/>
          </w:r>
        </w:p>
      </w:sdtContent>
    </w:sdt>
    <w:p w:rsidR="00AD1DA3" w:rsidRDefault="00AD1DA3" w:rsidP="00AD1DA3">
      <w:pPr>
        <w:rPr>
          <w:rFonts w:ascii="Gill Sans MT" w:hAnsi="Gill Sans MT"/>
          <w:b/>
        </w:rPr>
      </w:pPr>
    </w:p>
    <w:p w:rsidR="00AD1DA3" w:rsidRDefault="00AD1DA3" w:rsidP="00AD1DA3">
      <w:pPr>
        <w:rPr>
          <w:rFonts w:ascii="Gill Sans MT" w:hAnsi="Gill Sans MT"/>
          <w:b/>
        </w:rPr>
      </w:pPr>
    </w:p>
    <w:p w:rsidR="00034511" w:rsidRDefault="00034511" w:rsidP="00AD1DA3">
      <w:pPr>
        <w:rPr>
          <w:rFonts w:ascii="Gill Sans MT" w:hAnsi="Gill Sans MT"/>
          <w:b/>
        </w:rPr>
      </w:pPr>
    </w:p>
    <w:p w:rsidR="00AD1DA3" w:rsidRPr="00FA16DB" w:rsidRDefault="00AD1DA3" w:rsidP="00AD1DA3">
      <w:pPr>
        <w:pStyle w:val="Heading2"/>
        <w:rPr>
          <w:rFonts w:ascii="Gill Sans MT" w:hAnsi="Gill Sans MT"/>
          <w:b/>
          <w:sz w:val="24"/>
          <w:szCs w:val="24"/>
        </w:rPr>
      </w:pPr>
      <w:bookmarkStart w:id="0" w:name="_Toc41610202"/>
      <w:r w:rsidRPr="00FA16DB">
        <w:rPr>
          <w:rFonts w:ascii="Gill Sans MT" w:hAnsi="Gill Sans MT"/>
          <w:b/>
          <w:sz w:val="24"/>
          <w:szCs w:val="24"/>
        </w:rPr>
        <w:t>Introduction</w:t>
      </w:r>
      <w:bookmarkEnd w:id="0"/>
    </w:p>
    <w:p w:rsidR="00AD1DA3" w:rsidRPr="0017105E" w:rsidRDefault="00AD1DA3" w:rsidP="00AD1DA3">
      <w:pPr>
        <w:spacing w:after="0" w:line="240" w:lineRule="auto"/>
        <w:rPr>
          <w:rFonts w:ascii="Gill Sans MT" w:hAnsi="Gill Sans MT"/>
        </w:rPr>
      </w:pPr>
    </w:p>
    <w:p w:rsidR="00AD1DA3" w:rsidRDefault="00AD1DA3" w:rsidP="00AD1DA3">
      <w:pPr>
        <w:spacing w:after="0" w:line="240" w:lineRule="auto"/>
        <w:rPr>
          <w:rFonts w:ascii="Gill Sans MT" w:hAnsi="Gill Sans MT"/>
        </w:rPr>
      </w:pPr>
      <w:r w:rsidRPr="0017105E">
        <w:rPr>
          <w:rFonts w:ascii="Gill Sans MT" w:hAnsi="Gill Sans MT"/>
        </w:rPr>
        <w:t xml:space="preserve">This fundraising strategy sets out an approach to fundraising for </w:t>
      </w:r>
      <w:r>
        <w:rPr>
          <w:rFonts w:ascii="Gill Sans MT" w:hAnsi="Gill Sans MT"/>
        </w:rPr>
        <w:t>The Observatory for Sport in Scotland (OSS)</w:t>
      </w:r>
      <w:r w:rsidRPr="0017105E">
        <w:rPr>
          <w:rFonts w:ascii="Gill Sans MT" w:hAnsi="Gill Sans MT"/>
        </w:rPr>
        <w:t xml:space="preserve"> over the </w:t>
      </w:r>
      <w:r>
        <w:rPr>
          <w:rFonts w:ascii="Gill Sans MT" w:hAnsi="Gill Sans MT"/>
        </w:rPr>
        <w:t>next three</w:t>
      </w:r>
      <w:r w:rsidRPr="0017105E">
        <w:rPr>
          <w:rFonts w:ascii="Gill Sans MT" w:hAnsi="Gill Sans MT"/>
        </w:rPr>
        <w:t xml:space="preserve"> years</w:t>
      </w:r>
      <w:r>
        <w:rPr>
          <w:rFonts w:ascii="Gill Sans MT" w:hAnsi="Gill Sans MT"/>
        </w:rPr>
        <w:t>, focusing on securing the revenue funding required to grow the organisation and support the research programmes undertaken and planned.</w:t>
      </w:r>
    </w:p>
    <w:p w:rsidR="00AD1DA3" w:rsidRDefault="00AD1DA3" w:rsidP="00AD1DA3">
      <w:pPr>
        <w:spacing w:after="0" w:line="240" w:lineRule="auto"/>
        <w:rPr>
          <w:rFonts w:ascii="Gill Sans MT" w:hAnsi="Gill Sans MT"/>
        </w:rPr>
      </w:pPr>
    </w:p>
    <w:p w:rsidR="00AD1DA3" w:rsidRDefault="00AD1DA3" w:rsidP="00AD1DA3">
      <w:pPr>
        <w:spacing w:after="0" w:line="240" w:lineRule="auto"/>
        <w:rPr>
          <w:rFonts w:ascii="Gill Sans MT" w:hAnsi="Gill Sans MT"/>
        </w:rPr>
      </w:pPr>
      <w:r>
        <w:rPr>
          <w:rFonts w:ascii="Gill Sans MT" w:hAnsi="Gill Sans MT"/>
        </w:rPr>
        <w:t xml:space="preserve">This strategy is designed to </w:t>
      </w:r>
      <w:r w:rsidRPr="0017105E">
        <w:rPr>
          <w:rFonts w:ascii="Gill Sans MT" w:hAnsi="Gill Sans MT"/>
        </w:rPr>
        <w:t xml:space="preserve">support of the </w:t>
      </w:r>
      <w:r>
        <w:rPr>
          <w:rFonts w:ascii="Gill Sans MT" w:hAnsi="Gill Sans MT"/>
        </w:rPr>
        <w:t xml:space="preserve">vision and mission of OSS to </w:t>
      </w:r>
      <w:r w:rsidRPr="00CE6CCE">
        <w:rPr>
          <w:rFonts w:ascii="Gill Sans MT" w:hAnsi="Gill Sans MT"/>
        </w:rPr>
        <w:t>build an evidence-based platform that recognises the potential for improvement across the range of sports activities and levels, including school sport</w:t>
      </w:r>
      <w:r>
        <w:rPr>
          <w:rFonts w:ascii="Gill Sans MT" w:hAnsi="Gill Sans MT"/>
        </w:rPr>
        <w:t xml:space="preserve"> in Scotland. It will support the specific focus of OSS on co</w:t>
      </w:r>
      <w:r w:rsidRPr="00CE6CCE">
        <w:rPr>
          <w:rFonts w:ascii="Gill Sans MT" w:hAnsi="Gill Sans MT"/>
        </w:rPr>
        <w:t>mmunity sport</w:t>
      </w:r>
      <w:r>
        <w:rPr>
          <w:rFonts w:ascii="Gill Sans MT" w:hAnsi="Gill Sans MT"/>
        </w:rPr>
        <w:t xml:space="preserve"> and supporting the growth in sport participation for all ages and abilities at community level</w:t>
      </w:r>
      <w:r w:rsidRPr="00CE6CCE">
        <w:rPr>
          <w:rFonts w:ascii="Gill Sans MT" w:hAnsi="Gill Sans MT"/>
        </w:rPr>
        <w:t>.</w:t>
      </w:r>
      <w:r>
        <w:rPr>
          <w:rFonts w:ascii="Gill Sans MT" w:hAnsi="Gill Sans MT"/>
        </w:rPr>
        <w:t xml:space="preserve"> </w:t>
      </w:r>
    </w:p>
    <w:p w:rsidR="00AD1DA3" w:rsidRDefault="00AD1DA3" w:rsidP="00AD1DA3">
      <w:pPr>
        <w:spacing w:after="0" w:line="240" w:lineRule="auto"/>
        <w:rPr>
          <w:rFonts w:ascii="Gill Sans MT" w:hAnsi="Gill Sans MT"/>
        </w:rPr>
      </w:pPr>
    </w:p>
    <w:p w:rsidR="00AD1DA3" w:rsidRDefault="00AD1DA3" w:rsidP="00AD1DA3">
      <w:pPr>
        <w:spacing w:after="0" w:line="240" w:lineRule="auto"/>
        <w:rPr>
          <w:rFonts w:ascii="Gill Sans MT" w:hAnsi="Gill Sans MT"/>
        </w:rPr>
      </w:pPr>
      <w:r>
        <w:rPr>
          <w:rFonts w:ascii="Gill Sans MT" w:hAnsi="Gill Sans MT"/>
        </w:rPr>
        <w:t>This strategy focuses on three core areas of fundraising activity as follows:</w:t>
      </w:r>
    </w:p>
    <w:p w:rsidR="00AD1DA3" w:rsidRPr="0017105E" w:rsidRDefault="00AD1DA3" w:rsidP="00AD1DA3">
      <w:pPr>
        <w:spacing w:after="0" w:line="240" w:lineRule="auto"/>
        <w:rPr>
          <w:rFonts w:ascii="Gill Sans MT" w:hAnsi="Gill Sans MT"/>
        </w:rPr>
      </w:pPr>
    </w:p>
    <w:p w:rsidR="00AD1DA3" w:rsidRPr="0017105E" w:rsidRDefault="00AD1DA3" w:rsidP="00AD1DA3">
      <w:pPr>
        <w:pStyle w:val="ListParagraph"/>
        <w:numPr>
          <w:ilvl w:val="0"/>
          <w:numId w:val="7"/>
        </w:numPr>
        <w:spacing w:after="0" w:line="240" w:lineRule="auto"/>
        <w:rPr>
          <w:rFonts w:ascii="Gill Sans MT" w:hAnsi="Gill Sans MT"/>
        </w:rPr>
      </w:pPr>
      <w:r w:rsidRPr="0017105E">
        <w:rPr>
          <w:rFonts w:ascii="Gill Sans MT" w:hAnsi="Gill Sans MT"/>
          <w:b/>
        </w:rPr>
        <w:t xml:space="preserve">Individual Giving, Including High Net Worth Individuals </w:t>
      </w:r>
      <w:r w:rsidRPr="0017105E">
        <w:rPr>
          <w:rFonts w:ascii="Gill Sans MT" w:hAnsi="Gill Sans MT"/>
        </w:rPr>
        <w:t xml:space="preserve">– A focused strategy for engaging with individuals at all levels, </w:t>
      </w:r>
      <w:r>
        <w:rPr>
          <w:rFonts w:ascii="Gill Sans MT" w:hAnsi="Gill Sans MT"/>
        </w:rPr>
        <w:t>building on</w:t>
      </w:r>
      <w:r w:rsidRPr="0017105E">
        <w:rPr>
          <w:rFonts w:ascii="Gill Sans MT" w:hAnsi="Gill Sans MT"/>
        </w:rPr>
        <w:t xml:space="preserve"> </w:t>
      </w:r>
      <w:r>
        <w:rPr>
          <w:rFonts w:ascii="Gill Sans MT" w:hAnsi="Gill Sans MT"/>
        </w:rPr>
        <w:t>the successful ‘Founder Funders’ programme for individuals,</w:t>
      </w:r>
      <w:r w:rsidRPr="0017105E">
        <w:rPr>
          <w:rFonts w:ascii="Gill Sans MT" w:hAnsi="Gill Sans MT"/>
        </w:rPr>
        <w:t xml:space="preserve"> </w:t>
      </w:r>
      <w:r>
        <w:rPr>
          <w:rFonts w:ascii="Gill Sans MT" w:hAnsi="Gill Sans MT"/>
        </w:rPr>
        <w:t xml:space="preserve">and </w:t>
      </w:r>
      <w:r w:rsidRPr="0017105E">
        <w:rPr>
          <w:rFonts w:ascii="Gill Sans MT" w:hAnsi="Gill Sans MT"/>
        </w:rPr>
        <w:t xml:space="preserve">developing and implementing legacy and in-memoriam giving, regular giving and the cultivation of </w:t>
      </w:r>
      <w:r>
        <w:rPr>
          <w:rFonts w:ascii="Gill Sans MT" w:hAnsi="Gill Sans MT"/>
        </w:rPr>
        <w:t xml:space="preserve">major prospects and </w:t>
      </w:r>
      <w:r w:rsidRPr="0017105E">
        <w:rPr>
          <w:rFonts w:ascii="Gill Sans MT" w:hAnsi="Gill Sans MT"/>
        </w:rPr>
        <w:t xml:space="preserve">high net worth individuals. This strategy </w:t>
      </w:r>
      <w:r w:rsidR="00656EC0">
        <w:rPr>
          <w:rFonts w:ascii="Gill Sans MT" w:hAnsi="Gill Sans MT"/>
        </w:rPr>
        <w:t xml:space="preserve">covers all forms of individual giving from existing to new donors, and low level to major donors. It also </w:t>
      </w:r>
      <w:r w:rsidRPr="0017105E">
        <w:rPr>
          <w:rFonts w:ascii="Gill Sans MT" w:hAnsi="Gill Sans MT"/>
        </w:rPr>
        <w:t xml:space="preserve">sets out what </w:t>
      </w:r>
      <w:r>
        <w:rPr>
          <w:rFonts w:ascii="Gill Sans MT" w:hAnsi="Gill Sans MT"/>
        </w:rPr>
        <w:t>OSS</w:t>
      </w:r>
      <w:r w:rsidRPr="0017105E">
        <w:rPr>
          <w:rFonts w:ascii="Gill Sans MT" w:hAnsi="Gill Sans MT"/>
        </w:rPr>
        <w:t xml:space="preserve"> must do to comply with new laws and codes of fundraising practice in terms of charitable giving in the UK and </w:t>
      </w:r>
      <w:r>
        <w:rPr>
          <w:rFonts w:ascii="Gill Sans MT" w:hAnsi="Gill Sans MT"/>
        </w:rPr>
        <w:t xml:space="preserve">the levels of resource that may be required over the next </w:t>
      </w:r>
      <w:r w:rsidR="00656EC0">
        <w:rPr>
          <w:rFonts w:ascii="Gill Sans MT" w:hAnsi="Gill Sans MT"/>
        </w:rPr>
        <w:t>three</w:t>
      </w:r>
      <w:r>
        <w:rPr>
          <w:rFonts w:ascii="Gill Sans MT" w:hAnsi="Gill Sans MT"/>
        </w:rPr>
        <w:t xml:space="preserve"> years to </w:t>
      </w:r>
      <w:r w:rsidRPr="0017105E">
        <w:rPr>
          <w:rFonts w:ascii="Gill Sans MT" w:hAnsi="Gill Sans MT"/>
        </w:rPr>
        <w:t>maximise giving from this constituency group.</w:t>
      </w:r>
    </w:p>
    <w:p w:rsidR="00AD1DA3" w:rsidRPr="00B71D0E" w:rsidRDefault="00AD1DA3" w:rsidP="00AD1DA3">
      <w:pPr>
        <w:pStyle w:val="ListParagraph"/>
        <w:numPr>
          <w:ilvl w:val="0"/>
          <w:numId w:val="7"/>
        </w:numPr>
        <w:spacing w:after="0" w:line="240" w:lineRule="auto"/>
        <w:rPr>
          <w:rFonts w:ascii="Gill Sans MT" w:hAnsi="Gill Sans MT"/>
        </w:rPr>
      </w:pPr>
      <w:r>
        <w:rPr>
          <w:rFonts w:ascii="Gill Sans MT" w:hAnsi="Gill Sans MT"/>
          <w:b/>
        </w:rPr>
        <w:t xml:space="preserve">Trusts and Foundations </w:t>
      </w:r>
      <w:r w:rsidRPr="0017105E">
        <w:rPr>
          <w:rFonts w:ascii="Gill Sans MT" w:hAnsi="Gill Sans MT"/>
        </w:rPr>
        <w:t>– This part of the strategy look</w:t>
      </w:r>
      <w:r w:rsidR="00656EC0">
        <w:rPr>
          <w:rFonts w:ascii="Gill Sans MT" w:hAnsi="Gill Sans MT"/>
        </w:rPr>
        <w:t>s</w:t>
      </w:r>
      <w:r w:rsidRPr="0017105E">
        <w:rPr>
          <w:rFonts w:ascii="Gill Sans MT" w:hAnsi="Gill Sans MT"/>
        </w:rPr>
        <w:t xml:space="preserve"> at the changing world of Trust and Foundations in the UK and what </w:t>
      </w:r>
      <w:r>
        <w:rPr>
          <w:rFonts w:ascii="Gill Sans MT" w:hAnsi="Gill Sans MT"/>
        </w:rPr>
        <w:t xml:space="preserve">OSS </w:t>
      </w:r>
      <w:r w:rsidR="00656EC0">
        <w:rPr>
          <w:rFonts w:ascii="Gill Sans MT" w:hAnsi="Gill Sans MT"/>
        </w:rPr>
        <w:t>is doing</w:t>
      </w:r>
      <w:r>
        <w:rPr>
          <w:rFonts w:ascii="Gill Sans MT" w:hAnsi="Gill Sans MT"/>
        </w:rPr>
        <w:t xml:space="preserve"> to </w:t>
      </w:r>
      <w:r w:rsidRPr="0017105E">
        <w:rPr>
          <w:rFonts w:ascii="Gill Sans MT" w:hAnsi="Gill Sans MT"/>
        </w:rPr>
        <w:t xml:space="preserve">appeal to this sector and fulfil the increasing detail </w:t>
      </w:r>
      <w:r w:rsidR="00656EC0">
        <w:rPr>
          <w:rFonts w:ascii="Gill Sans MT" w:hAnsi="Gill Sans MT"/>
        </w:rPr>
        <w:t>sought</w:t>
      </w:r>
      <w:r w:rsidRPr="0017105E">
        <w:rPr>
          <w:rFonts w:ascii="Gill Sans MT" w:hAnsi="Gill Sans MT"/>
        </w:rPr>
        <w:t xml:space="preserve"> around projects </w:t>
      </w:r>
      <w:r w:rsidR="00656EC0">
        <w:rPr>
          <w:rFonts w:ascii="Gill Sans MT" w:hAnsi="Gill Sans MT"/>
        </w:rPr>
        <w:t>funders</w:t>
      </w:r>
      <w:r w:rsidRPr="0017105E">
        <w:rPr>
          <w:rFonts w:ascii="Gill Sans MT" w:hAnsi="Gill Sans MT"/>
        </w:rPr>
        <w:t xml:space="preserve"> </w:t>
      </w:r>
      <w:r w:rsidR="00656EC0">
        <w:rPr>
          <w:rFonts w:ascii="Gill Sans MT" w:hAnsi="Gill Sans MT"/>
        </w:rPr>
        <w:t>are prepared to</w:t>
      </w:r>
      <w:r w:rsidRPr="0017105E">
        <w:rPr>
          <w:rFonts w:ascii="Gill Sans MT" w:hAnsi="Gill Sans MT"/>
        </w:rPr>
        <w:t xml:space="preserve"> support</w:t>
      </w:r>
      <w:r>
        <w:rPr>
          <w:rFonts w:ascii="Gill Sans MT" w:hAnsi="Gill Sans MT"/>
        </w:rPr>
        <w:t>, including the wider impact they have.</w:t>
      </w:r>
    </w:p>
    <w:p w:rsidR="00AD1DA3" w:rsidRDefault="00AD1DA3" w:rsidP="00AD1DA3">
      <w:pPr>
        <w:pStyle w:val="ListParagraph"/>
        <w:numPr>
          <w:ilvl w:val="0"/>
          <w:numId w:val="7"/>
        </w:numPr>
        <w:spacing w:after="0" w:line="240" w:lineRule="auto"/>
        <w:rPr>
          <w:rFonts w:ascii="Gill Sans MT" w:hAnsi="Gill Sans MT"/>
        </w:rPr>
      </w:pPr>
      <w:r w:rsidRPr="0017105E">
        <w:rPr>
          <w:rFonts w:ascii="Gill Sans MT" w:hAnsi="Gill Sans MT"/>
          <w:b/>
        </w:rPr>
        <w:t xml:space="preserve">Corporate Giving </w:t>
      </w:r>
      <w:r w:rsidRPr="0017105E">
        <w:rPr>
          <w:rFonts w:ascii="Gill Sans MT" w:hAnsi="Gill Sans MT"/>
        </w:rPr>
        <w:t xml:space="preserve">– This part of the Fundraising Strategy </w:t>
      </w:r>
      <w:r w:rsidR="00656EC0">
        <w:rPr>
          <w:rFonts w:ascii="Gill Sans MT" w:hAnsi="Gill Sans MT"/>
        </w:rPr>
        <w:t>focuses</w:t>
      </w:r>
      <w:r w:rsidRPr="0017105E">
        <w:rPr>
          <w:rFonts w:ascii="Gill Sans MT" w:hAnsi="Gill Sans MT"/>
        </w:rPr>
        <w:t xml:space="preserve"> on capitalising on gifts from the corporate sector, where UK companies rank among the least likely in the world to support charities. It </w:t>
      </w:r>
      <w:r w:rsidR="00656EC0">
        <w:rPr>
          <w:rFonts w:ascii="Gill Sans MT" w:hAnsi="Gill Sans MT"/>
        </w:rPr>
        <w:t>seeks to build on the</w:t>
      </w:r>
      <w:r>
        <w:rPr>
          <w:rFonts w:ascii="Gill Sans MT" w:hAnsi="Gill Sans MT"/>
        </w:rPr>
        <w:t xml:space="preserve"> </w:t>
      </w:r>
      <w:r w:rsidR="00656EC0">
        <w:rPr>
          <w:rFonts w:ascii="Gill Sans MT" w:hAnsi="Gill Sans MT"/>
        </w:rPr>
        <w:t>‘</w:t>
      </w:r>
      <w:r>
        <w:rPr>
          <w:rFonts w:ascii="Gill Sans MT" w:hAnsi="Gill Sans MT"/>
        </w:rPr>
        <w:t>Founder Funders</w:t>
      </w:r>
      <w:r w:rsidR="00656EC0">
        <w:rPr>
          <w:rFonts w:ascii="Gill Sans MT" w:hAnsi="Gill Sans MT"/>
        </w:rPr>
        <w:t>’</w:t>
      </w:r>
      <w:r>
        <w:rPr>
          <w:rFonts w:ascii="Gill Sans MT" w:hAnsi="Gill Sans MT"/>
        </w:rPr>
        <w:t xml:space="preserve"> </w:t>
      </w:r>
      <w:r w:rsidRPr="0017105E">
        <w:rPr>
          <w:rFonts w:ascii="Gill Sans MT" w:hAnsi="Gill Sans MT"/>
        </w:rPr>
        <w:t>scheme</w:t>
      </w:r>
      <w:r>
        <w:rPr>
          <w:rFonts w:ascii="Gill Sans MT" w:hAnsi="Gill Sans MT"/>
        </w:rPr>
        <w:t xml:space="preserve"> and </w:t>
      </w:r>
      <w:r w:rsidR="00656EC0">
        <w:rPr>
          <w:rFonts w:ascii="Gill Sans MT" w:hAnsi="Gill Sans MT"/>
        </w:rPr>
        <w:t>create attractive propositions for corporates to consider supporting OSS in a number of different ways.</w:t>
      </w:r>
      <w:r w:rsidRPr="0017105E">
        <w:rPr>
          <w:rFonts w:ascii="Gill Sans MT" w:hAnsi="Gill Sans MT"/>
        </w:rPr>
        <w:t xml:space="preserve"> packages</w:t>
      </w:r>
      <w:r>
        <w:rPr>
          <w:rFonts w:ascii="Gill Sans MT" w:hAnsi="Gill Sans MT"/>
        </w:rPr>
        <w:t>.</w:t>
      </w:r>
      <w:r w:rsidRPr="0017105E">
        <w:rPr>
          <w:rFonts w:ascii="Gill Sans MT" w:hAnsi="Gill Sans MT"/>
        </w:rPr>
        <w:t xml:space="preserve"> It will also look at the stewardship that companies seek in return for support and what </w:t>
      </w:r>
      <w:r>
        <w:rPr>
          <w:rFonts w:ascii="Gill Sans MT" w:hAnsi="Gill Sans MT"/>
        </w:rPr>
        <w:t>OSS</w:t>
      </w:r>
      <w:r w:rsidRPr="0017105E">
        <w:rPr>
          <w:rFonts w:ascii="Gill Sans MT" w:hAnsi="Gill Sans MT"/>
        </w:rPr>
        <w:t xml:space="preserve"> </w:t>
      </w:r>
      <w:r w:rsidR="00656EC0">
        <w:rPr>
          <w:rFonts w:ascii="Gill Sans MT" w:hAnsi="Gill Sans MT"/>
        </w:rPr>
        <w:t>will do</w:t>
      </w:r>
      <w:r w:rsidRPr="0017105E">
        <w:rPr>
          <w:rFonts w:ascii="Gill Sans MT" w:hAnsi="Gill Sans MT"/>
        </w:rPr>
        <w:t xml:space="preserve"> to fulfil this.</w:t>
      </w:r>
    </w:p>
    <w:p w:rsidR="00AD1DA3" w:rsidRDefault="00AD1DA3" w:rsidP="00AD1DA3">
      <w:pPr>
        <w:spacing w:after="0" w:line="240" w:lineRule="auto"/>
        <w:rPr>
          <w:rFonts w:ascii="Gill Sans MT" w:hAnsi="Gill Sans MT"/>
        </w:rPr>
      </w:pPr>
    </w:p>
    <w:p w:rsidR="00AD1DA3" w:rsidRPr="0017105E" w:rsidRDefault="00AD1DA3" w:rsidP="00AD1DA3">
      <w:pPr>
        <w:spacing w:after="0" w:line="240" w:lineRule="auto"/>
        <w:rPr>
          <w:rFonts w:ascii="Gill Sans MT" w:hAnsi="Gill Sans MT"/>
        </w:rPr>
      </w:pPr>
      <w:r>
        <w:rPr>
          <w:rFonts w:ascii="Gill Sans MT" w:hAnsi="Gill Sans MT"/>
        </w:rPr>
        <w:t xml:space="preserve">A fourth income source, </w:t>
      </w:r>
      <w:r w:rsidRPr="00AD1DA3">
        <w:rPr>
          <w:rFonts w:ascii="Gill Sans MT" w:hAnsi="Gill Sans MT"/>
          <w:bCs/>
        </w:rPr>
        <w:t xml:space="preserve">Government and other stakeholder contracts, </w:t>
      </w:r>
      <w:r w:rsidR="00656EC0">
        <w:rPr>
          <w:rFonts w:ascii="Gill Sans MT" w:hAnsi="Gill Sans MT"/>
          <w:bCs/>
        </w:rPr>
        <w:t xml:space="preserve">is being developed by OSS and </w:t>
      </w:r>
      <w:r w:rsidRPr="00AD1DA3">
        <w:rPr>
          <w:rFonts w:ascii="Gill Sans MT" w:hAnsi="Gill Sans MT"/>
          <w:bCs/>
        </w:rPr>
        <w:t>will</w:t>
      </w:r>
      <w:r>
        <w:rPr>
          <w:rFonts w:ascii="Gill Sans MT" w:hAnsi="Gill Sans MT"/>
          <w:b/>
        </w:rPr>
        <w:t xml:space="preserve"> </w:t>
      </w:r>
      <w:r w:rsidRPr="00656EC0">
        <w:rPr>
          <w:rFonts w:ascii="Gill Sans MT" w:hAnsi="Gill Sans MT"/>
          <w:bCs/>
        </w:rPr>
        <w:t>build</w:t>
      </w:r>
      <w:r>
        <w:rPr>
          <w:rFonts w:ascii="Gill Sans MT" w:hAnsi="Gill Sans MT"/>
          <w:b/>
        </w:rPr>
        <w:t xml:space="preserve"> </w:t>
      </w:r>
      <w:r>
        <w:rPr>
          <w:rFonts w:ascii="Gill Sans MT" w:hAnsi="Gill Sans MT"/>
        </w:rPr>
        <w:t xml:space="preserve">on </w:t>
      </w:r>
      <w:r w:rsidR="00656EC0">
        <w:rPr>
          <w:rFonts w:ascii="Gill Sans MT" w:hAnsi="Gill Sans MT"/>
        </w:rPr>
        <w:t xml:space="preserve">the growth of </w:t>
      </w:r>
      <w:r>
        <w:rPr>
          <w:rFonts w:ascii="Gill Sans MT" w:hAnsi="Gill Sans MT"/>
        </w:rPr>
        <w:t>new and strengthened relationships with key stakeholders across Scotland, from national to local levels across community sport, leisure and recreation. This will be led by the Director, supported by the Executive Committee and Research Advisory Group.</w:t>
      </w:r>
    </w:p>
    <w:p w:rsidR="00AD1DA3" w:rsidRDefault="00AD1DA3" w:rsidP="00AD1DA3">
      <w:pPr>
        <w:spacing w:after="0" w:line="240" w:lineRule="auto"/>
        <w:rPr>
          <w:rFonts w:ascii="Gill Sans MT" w:hAnsi="Gill Sans MT"/>
        </w:rPr>
      </w:pPr>
    </w:p>
    <w:p w:rsidR="00AD1DA3" w:rsidRDefault="00AD1DA3" w:rsidP="00AD1DA3">
      <w:pPr>
        <w:spacing w:after="0" w:line="240" w:lineRule="auto"/>
        <w:rPr>
          <w:rFonts w:ascii="Gill Sans MT" w:hAnsi="Gill Sans MT"/>
          <w:b/>
        </w:rPr>
      </w:pPr>
    </w:p>
    <w:p w:rsidR="00656EC0" w:rsidRDefault="00656EC0" w:rsidP="00AD1DA3">
      <w:pPr>
        <w:spacing w:after="0" w:line="240" w:lineRule="auto"/>
        <w:rPr>
          <w:rFonts w:ascii="Gill Sans MT" w:hAnsi="Gill Sans MT"/>
          <w:b/>
        </w:rPr>
      </w:pPr>
    </w:p>
    <w:p w:rsidR="00034511" w:rsidRPr="0017105E" w:rsidRDefault="00034511" w:rsidP="00AD1DA3">
      <w:pPr>
        <w:spacing w:after="0" w:line="240" w:lineRule="auto"/>
        <w:rPr>
          <w:rFonts w:ascii="Gill Sans MT" w:hAnsi="Gill Sans MT"/>
          <w:b/>
        </w:rPr>
      </w:pPr>
    </w:p>
    <w:p w:rsidR="00AD1DA3" w:rsidRPr="00FA16DB" w:rsidRDefault="00AD1DA3" w:rsidP="00AD1DA3">
      <w:pPr>
        <w:pStyle w:val="Heading2"/>
        <w:rPr>
          <w:rFonts w:ascii="Gill Sans MT" w:hAnsi="Gill Sans MT"/>
          <w:b/>
          <w:sz w:val="24"/>
          <w:szCs w:val="24"/>
        </w:rPr>
      </w:pPr>
      <w:bookmarkStart w:id="1" w:name="_Toc41610203"/>
      <w:r>
        <w:rPr>
          <w:rFonts w:ascii="Gill Sans MT" w:hAnsi="Gill Sans MT"/>
          <w:b/>
          <w:sz w:val="24"/>
          <w:szCs w:val="24"/>
        </w:rPr>
        <w:t>OSS</w:t>
      </w:r>
      <w:r w:rsidRPr="00FA16DB">
        <w:rPr>
          <w:rFonts w:ascii="Gill Sans MT" w:hAnsi="Gill Sans MT"/>
          <w:b/>
          <w:sz w:val="24"/>
          <w:szCs w:val="24"/>
        </w:rPr>
        <w:t xml:space="preserve"> – A Brief History</w:t>
      </w:r>
      <w:r>
        <w:rPr>
          <w:rFonts w:ascii="Gill Sans MT" w:hAnsi="Gill Sans MT"/>
          <w:b/>
          <w:sz w:val="24"/>
          <w:szCs w:val="24"/>
        </w:rPr>
        <w:t xml:space="preserve"> and Context</w:t>
      </w:r>
      <w:bookmarkEnd w:id="1"/>
    </w:p>
    <w:p w:rsidR="00AD1DA3" w:rsidRPr="0017105E" w:rsidRDefault="00AD1DA3" w:rsidP="00AD1DA3">
      <w:pPr>
        <w:spacing w:after="0" w:line="240" w:lineRule="auto"/>
        <w:rPr>
          <w:rFonts w:ascii="Gill Sans MT" w:hAnsi="Gill Sans MT"/>
          <w:b/>
        </w:rPr>
      </w:pPr>
    </w:p>
    <w:p w:rsidR="00AD1DA3" w:rsidRDefault="00AD1DA3" w:rsidP="00AD1DA3">
      <w:pPr>
        <w:spacing w:after="0" w:line="240" w:lineRule="auto"/>
        <w:rPr>
          <w:rFonts w:ascii="Gill Sans MT" w:hAnsi="Gill Sans MT"/>
        </w:rPr>
      </w:pPr>
      <w:r>
        <w:rPr>
          <w:rFonts w:ascii="Gill Sans MT" w:hAnsi="Gill Sans MT"/>
        </w:rPr>
        <w:lastRenderedPageBreak/>
        <w:t>Following research and scoping led by founder Charlie Raeburn in 2015-16, the Observatory for Sport in Scotland was registered as a charity in Scotland on 31</w:t>
      </w:r>
      <w:r w:rsidRPr="00CE6CCE">
        <w:rPr>
          <w:rFonts w:ascii="Gill Sans MT" w:hAnsi="Gill Sans MT"/>
          <w:vertAlign w:val="superscript"/>
        </w:rPr>
        <w:t>st</w:t>
      </w:r>
      <w:r>
        <w:rPr>
          <w:rFonts w:ascii="Gill Sans MT" w:hAnsi="Gill Sans MT"/>
        </w:rPr>
        <w:t xml:space="preserve"> August 2016 with the following charitable objective:</w:t>
      </w:r>
    </w:p>
    <w:p w:rsidR="00AD1DA3" w:rsidRDefault="00AD1DA3" w:rsidP="00AD1DA3">
      <w:pPr>
        <w:spacing w:after="0" w:line="240" w:lineRule="auto"/>
        <w:rPr>
          <w:rFonts w:ascii="Gill Sans MT" w:hAnsi="Gill Sans MT"/>
        </w:rPr>
      </w:pPr>
    </w:p>
    <w:p w:rsidR="00AD1DA3" w:rsidRDefault="00AD1DA3" w:rsidP="00AD1DA3">
      <w:pPr>
        <w:spacing w:after="0" w:line="240" w:lineRule="auto"/>
        <w:rPr>
          <w:rFonts w:ascii="Gill Sans MT" w:hAnsi="Gill Sans MT"/>
          <w:i/>
        </w:rPr>
      </w:pPr>
      <w:r>
        <w:rPr>
          <w:rFonts w:ascii="Gill Sans MT" w:hAnsi="Gill Sans MT"/>
          <w:i/>
        </w:rPr>
        <w:t>T</w:t>
      </w:r>
      <w:r w:rsidRPr="007A4CA4">
        <w:rPr>
          <w:rFonts w:ascii="Gill Sans MT" w:hAnsi="Gill Sans MT"/>
          <w:i/>
        </w:rPr>
        <w:t>he organisation</w:t>
      </w:r>
      <w:r>
        <w:rPr>
          <w:rFonts w:ascii="Gill Sans MT" w:hAnsi="Gill Sans MT"/>
          <w:i/>
        </w:rPr>
        <w:t>’</w:t>
      </w:r>
      <w:r w:rsidRPr="007A4CA4">
        <w:rPr>
          <w:rFonts w:ascii="Gill Sans MT" w:hAnsi="Gill Sans MT"/>
          <w:i/>
        </w:rPr>
        <w:t>s purpose is the advancement of education, primarily, but not exclusively by undertaking, or commissioning, original research in order to produce data and analysis that will be widely disseminated to promote sport as a force for the improvement of all aspects of life. Potential benefits will be the positive impact on health and well-being, gender and race relations, education and social welfare and making contribution to civic society and the wealth of the nation.</w:t>
      </w:r>
    </w:p>
    <w:p w:rsidR="00AD1DA3" w:rsidRDefault="00AD1DA3" w:rsidP="00AD1DA3">
      <w:pPr>
        <w:spacing w:after="0" w:line="240" w:lineRule="auto"/>
        <w:rPr>
          <w:rFonts w:ascii="Gill Sans MT" w:hAnsi="Gill Sans MT"/>
          <w:i/>
        </w:rPr>
      </w:pPr>
    </w:p>
    <w:p w:rsidR="00AD1DA3" w:rsidRPr="00BE30C1" w:rsidRDefault="00AD1DA3" w:rsidP="00AD1DA3">
      <w:pPr>
        <w:spacing w:after="0" w:line="240" w:lineRule="auto"/>
        <w:rPr>
          <w:rFonts w:ascii="Gill Sans MT" w:hAnsi="Gill Sans MT"/>
        </w:rPr>
      </w:pPr>
      <w:r w:rsidRPr="00BE30C1">
        <w:rPr>
          <w:rFonts w:ascii="Gill Sans MT" w:hAnsi="Gill Sans MT"/>
        </w:rPr>
        <w:t xml:space="preserve">The </w:t>
      </w:r>
      <w:r>
        <w:rPr>
          <w:rFonts w:ascii="Gill Sans MT" w:hAnsi="Gill Sans MT"/>
        </w:rPr>
        <w:t>OSS</w:t>
      </w:r>
      <w:r w:rsidRPr="00BE30C1">
        <w:rPr>
          <w:rFonts w:ascii="Gill Sans MT" w:hAnsi="Gill Sans MT"/>
        </w:rPr>
        <w:t xml:space="preserve"> is a ‘think-and-do tank’ with a growing network of partners from across the world committed to achieving sustainable </w:t>
      </w:r>
      <w:r w:rsidR="00656EC0">
        <w:rPr>
          <w:rFonts w:ascii="Gill Sans MT" w:hAnsi="Gill Sans MT"/>
        </w:rPr>
        <w:t>improvement</w:t>
      </w:r>
      <w:r w:rsidRPr="00BE30C1">
        <w:rPr>
          <w:rFonts w:ascii="Gill Sans MT" w:hAnsi="Gill Sans MT"/>
        </w:rPr>
        <w:t xml:space="preserve"> to Scotland’s population now and in the future. Working closely with national and local government, businesses, sports bodies and communities, we use our collective knowledge, networks and enthusiasm to tackle </w:t>
      </w:r>
      <w:r w:rsidR="00656EC0">
        <w:rPr>
          <w:rFonts w:ascii="Gill Sans MT" w:hAnsi="Gill Sans MT"/>
        </w:rPr>
        <w:t xml:space="preserve">the various challenges to </w:t>
      </w:r>
      <w:r w:rsidRPr="00BE30C1">
        <w:rPr>
          <w:rFonts w:ascii="Gill Sans MT" w:hAnsi="Gill Sans MT"/>
        </w:rPr>
        <w:t xml:space="preserve">community sport, health and wellbeing in Scotland. </w:t>
      </w:r>
    </w:p>
    <w:p w:rsidR="00AD1DA3" w:rsidRPr="00BE30C1" w:rsidRDefault="00AD1DA3" w:rsidP="00AD1DA3">
      <w:pPr>
        <w:spacing w:after="0" w:line="240" w:lineRule="auto"/>
        <w:rPr>
          <w:rFonts w:ascii="Gill Sans MT" w:hAnsi="Gill Sans MT"/>
        </w:rPr>
      </w:pPr>
    </w:p>
    <w:p w:rsidR="00AD1DA3" w:rsidRPr="008B23B6" w:rsidRDefault="00AD1DA3" w:rsidP="00AD1DA3">
      <w:pPr>
        <w:spacing w:after="0"/>
        <w:rPr>
          <w:rFonts w:ascii="Gill Sans MT" w:hAnsi="Gill Sans MT"/>
          <w:b/>
        </w:rPr>
      </w:pPr>
      <w:r w:rsidRPr="008B23B6">
        <w:rPr>
          <w:rFonts w:ascii="Gill Sans MT" w:hAnsi="Gill Sans MT"/>
          <w:b/>
        </w:rPr>
        <w:t>Our Values</w:t>
      </w:r>
    </w:p>
    <w:p w:rsidR="00AD1DA3" w:rsidRPr="008B23B6" w:rsidRDefault="00AD1DA3" w:rsidP="00AD1DA3">
      <w:pPr>
        <w:spacing w:after="0"/>
        <w:rPr>
          <w:rFonts w:ascii="Gill Sans MT" w:hAnsi="Gill Sans MT"/>
        </w:rPr>
      </w:pPr>
      <w:r w:rsidRPr="008B23B6">
        <w:rPr>
          <w:rFonts w:ascii="Gill Sans MT" w:hAnsi="Gill Sans MT"/>
        </w:rPr>
        <w:t>Ambition. Collaboration. Quality. Independence. Informed. Sustainable.</w:t>
      </w:r>
    </w:p>
    <w:p w:rsidR="00AD1DA3" w:rsidRPr="008B23B6" w:rsidRDefault="00AD1DA3" w:rsidP="00AD1DA3">
      <w:pPr>
        <w:spacing w:after="0"/>
        <w:rPr>
          <w:rFonts w:ascii="Gill Sans MT" w:hAnsi="Gill Sans MT"/>
          <w:color w:val="000000" w:themeColor="text1"/>
        </w:rPr>
      </w:pPr>
    </w:p>
    <w:p w:rsidR="00AD1DA3" w:rsidRPr="008B23B6" w:rsidRDefault="00AD1DA3" w:rsidP="00AD1DA3">
      <w:pPr>
        <w:spacing w:after="0"/>
        <w:rPr>
          <w:rFonts w:ascii="Gill Sans MT" w:hAnsi="Gill Sans MT"/>
          <w:b/>
          <w:color w:val="000000" w:themeColor="text1"/>
        </w:rPr>
      </w:pPr>
      <w:r w:rsidRPr="008B23B6">
        <w:rPr>
          <w:rFonts w:ascii="Gill Sans MT" w:hAnsi="Gill Sans MT"/>
          <w:b/>
          <w:color w:val="000000" w:themeColor="text1"/>
        </w:rPr>
        <w:t>Our Vision</w:t>
      </w:r>
    </w:p>
    <w:p w:rsidR="00AD1DA3" w:rsidRPr="00A21700" w:rsidRDefault="00AD1DA3" w:rsidP="00AD1DA3">
      <w:pPr>
        <w:rPr>
          <w:rFonts w:ascii="Gill Sans MT" w:hAnsi="Gill Sans MT"/>
        </w:rPr>
      </w:pPr>
      <w:r w:rsidRPr="00A21700">
        <w:rPr>
          <w:rFonts w:ascii="Gill Sans MT" w:hAnsi="Gill Sans MT"/>
        </w:rPr>
        <w:t>A healthier Scotland where every person can access sport and its wider benefits for life.</w:t>
      </w:r>
    </w:p>
    <w:p w:rsidR="00AD1DA3" w:rsidRPr="008B23B6" w:rsidRDefault="00AD1DA3" w:rsidP="00AD1DA3">
      <w:pPr>
        <w:spacing w:after="0"/>
        <w:rPr>
          <w:rFonts w:ascii="Gill Sans MT" w:hAnsi="Gill Sans MT"/>
          <w:b/>
          <w:color w:val="000000" w:themeColor="text1"/>
        </w:rPr>
      </w:pPr>
      <w:r w:rsidRPr="008B23B6">
        <w:rPr>
          <w:rFonts w:ascii="Gill Sans MT" w:hAnsi="Gill Sans MT"/>
          <w:b/>
          <w:color w:val="000000" w:themeColor="text1"/>
        </w:rPr>
        <w:t>Our Mission</w:t>
      </w:r>
    </w:p>
    <w:p w:rsidR="00AD1DA3" w:rsidRPr="00A21700" w:rsidRDefault="00AD1DA3" w:rsidP="00AD1DA3">
      <w:pPr>
        <w:rPr>
          <w:rFonts w:ascii="Gill Sans MT" w:hAnsi="Gill Sans MT"/>
          <w:color w:val="000000" w:themeColor="text1"/>
        </w:rPr>
      </w:pPr>
      <w:r w:rsidRPr="00A21700">
        <w:rPr>
          <w:rFonts w:ascii="Gill Sans MT" w:hAnsi="Gill Sans MT"/>
          <w:color w:val="000000" w:themeColor="text1"/>
        </w:rPr>
        <w:t>To inform, influence and support stakeholders and communities to increase and widen participation in all forms of sport activity, and help to arrest Scotland’s physical and mental health and wellbeing problems.</w:t>
      </w:r>
    </w:p>
    <w:p w:rsidR="00AD1DA3" w:rsidRDefault="00AD1DA3" w:rsidP="00AD1DA3">
      <w:pPr>
        <w:spacing w:after="0" w:line="240" w:lineRule="auto"/>
        <w:rPr>
          <w:rFonts w:ascii="Gill Sans MT" w:hAnsi="Gill Sans MT"/>
        </w:rPr>
      </w:pPr>
    </w:p>
    <w:p w:rsidR="00AD1DA3" w:rsidRDefault="00AD1DA3" w:rsidP="00AD1DA3">
      <w:pPr>
        <w:spacing w:after="0" w:line="240" w:lineRule="auto"/>
        <w:rPr>
          <w:rFonts w:ascii="Gill Sans MT" w:hAnsi="Gill Sans MT"/>
        </w:rPr>
      </w:pPr>
      <w:r>
        <w:rPr>
          <w:rFonts w:ascii="Gill Sans MT" w:hAnsi="Gill Sans MT"/>
        </w:rPr>
        <w:t>OSS has evolved from a successful model adopted in the most active countries such as Sweden, Denmark and the Netherlands. T</w:t>
      </w:r>
      <w:r w:rsidRPr="003D0B5C">
        <w:rPr>
          <w:rFonts w:ascii="Gill Sans MT" w:hAnsi="Gill Sans MT"/>
        </w:rPr>
        <w:t>he Danish Institute for Sports Studies (</w:t>
      </w:r>
      <w:r>
        <w:rPr>
          <w:rFonts w:ascii="Gill Sans MT" w:hAnsi="Gill Sans MT"/>
        </w:rPr>
        <w:t>IDAN</w:t>
      </w:r>
      <w:r w:rsidRPr="003D0B5C">
        <w:rPr>
          <w:rFonts w:ascii="Gill Sans MT" w:hAnsi="Gill Sans MT"/>
        </w:rPr>
        <w:t>)</w:t>
      </w:r>
      <w:r>
        <w:rPr>
          <w:rFonts w:ascii="Gill Sans MT" w:hAnsi="Gill Sans MT"/>
        </w:rPr>
        <w:t xml:space="preserve"> and </w:t>
      </w:r>
      <w:r w:rsidRPr="00AD1DA3">
        <w:rPr>
          <w:rFonts w:ascii="Gill Sans MT" w:hAnsi="Gill Sans MT" w:cs="Segoe UI"/>
          <w:color w:val="000000" w:themeColor="text1"/>
        </w:rPr>
        <w:t xml:space="preserve">Mulier Institute </w:t>
      </w:r>
      <w:r>
        <w:rPr>
          <w:rFonts w:ascii="Gill Sans MT" w:hAnsi="Gill Sans MT" w:cs="Segoe UI"/>
          <w:color w:val="000000" w:themeColor="text1"/>
        </w:rPr>
        <w:t xml:space="preserve">in the Netherlands </w:t>
      </w:r>
      <w:r>
        <w:rPr>
          <w:rFonts w:ascii="Gill Sans MT" w:hAnsi="Gill Sans MT"/>
        </w:rPr>
        <w:t xml:space="preserve">provided cohesive templates for the OSS. IDAN was established as </w:t>
      </w:r>
      <w:r w:rsidRPr="003D0B5C">
        <w:rPr>
          <w:rFonts w:ascii="Gill Sans MT" w:hAnsi="Gill Sans MT"/>
        </w:rPr>
        <w:t>an independent research centre by the Danish Ministry of Culture in 2004</w:t>
      </w:r>
      <w:r>
        <w:rPr>
          <w:rFonts w:ascii="Gill Sans MT" w:hAnsi="Gill Sans MT"/>
        </w:rPr>
        <w:t xml:space="preserve">, </w:t>
      </w:r>
      <w:r w:rsidRPr="003D0B5C">
        <w:rPr>
          <w:rFonts w:ascii="Gill Sans MT" w:hAnsi="Gill Sans MT"/>
        </w:rPr>
        <w:t>primarily financed by state lottery funding</w:t>
      </w:r>
      <w:r>
        <w:rPr>
          <w:rFonts w:ascii="Gill Sans MT" w:hAnsi="Gill Sans MT"/>
        </w:rPr>
        <w:t>, to</w:t>
      </w:r>
      <w:r w:rsidRPr="003D0B5C">
        <w:rPr>
          <w:rFonts w:ascii="Gill Sans MT" w:hAnsi="Gill Sans MT"/>
        </w:rPr>
        <w:t xml:space="preserve"> establish a general overview of and insight to the fields of sports and non-formal education nationally as well as internationally</w:t>
      </w:r>
      <w:r>
        <w:rPr>
          <w:rFonts w:ascii="Gill Sans MT" w:hAnsi="Gill Sans MT"/>
        </w:rPr>
        <w:t xml:space="preserve">, </w:t>
      </w:r>
      <w:r w:rsidRPr="003D0B5C">
        <w:rPr>
          <w:rFonts w:ascii="Gill Sans MT" w:hAnsi="Gill Sans MT"/>
        </w:rPr>
        <w:t>to analyse the implications and perspectives of policy initiatives within the fields of sports and non-formal education</w:t>
      </w:r>
      <w:r>
        <w:rPr>
          <w:rFonts w:ascii="Gill Sans MT" w:hAnsi="Gill Sans MT"/>
        </w:rPr>
        <w:t xml:space="preserve"> and to</w:t>
      </w:r>
      <w:r w:rsidRPr="003D0B5C">
        <w:rPr>
          <w:rFonts w:ascii="Gill Sans MT" w:hAnsi="Gill Sans MT"/>
        </w:rPr>
        <w:t xml:space="preserve"> initiate public debate on key issues in non-formal education and in Danish and international sports politics</w:t>
      </w:r>
      <w:r>
        <w:rPr>
          <w:rFonts w:ascii="Gill Sans MT" w:hAnsi="Gill Sans MT"/>
        </w:rPr>
        <w:t>.</w:t>
      </w:r>
    </w:p>
    <w:p w:rsidR="00AD1DA3" w:rsidRDefault="00AD1DA3" w:rsidP="00AD1DA3">
      <w:pPr>
        <w:spacing w:after="0" w:line="240" w:lineRule="auto"/>
        <w:rPr>
          <w:rFonts w:ascii="Gill Sans MT" w:hAnsi="Gill Sans MT"/>
        </w:rPr>
      </w:pPr>
    </w:p>
    <w:p w:rsidR="00AD1DA3" w:rsidRDefault="00AD1DA3" w:rsidP="00AD1DA3">
      <w:pPr>
        <w:pStyle w:val="NormalWeb"/>
        <w:spacing w:before="0" w:beforeAutospacing="0"/>
        <w:rPr>
          <w:rFonts w:ascii="Gill Sans MT" w:hAnsi="Gill Sans MT" w:cs="Segoe UI"/>
          <w:color w:val="000000" w:themeColor="text1"/>
          <w:sz w:val="22"/>
          <w:szCs w:val="22"/>
        </w:rPr>
      </w:pPr>
      <w:r w:rsidRPr="00AD1DA3">
        <w:rPr>
          <w:rFonts w:ascii="Gill Sans MT" w:hAnsi="Gill Sans MT" w:cs="Segoe UI"/>
          <w:color w:val="000000" w:themeColor="text1"/>
          <w:sz w:val="22"/>
          <w:szCs w:val="22"/>
        </w:rPr>
        <w:t>The Mulier Institute was founded in 2002 and is the only independent, non-profit, scientific sport-research institute in the Netherlands. It is engaged in fundamental, practice-focused and policy relevant social-scientific sport research, monitoring developments within the Dutch sports sector. It builds its own databases and trend series, in close cooperation with academic and professional universities both in the Netherlands and abroad, as well as with other research organisations and statistical administrative bodies, such as CBS Statistics Netherlands and Eurostat. The institute aspires to enhance the quality of sport research and sport policy in the Netherlands.</w:t>
      </w:r>
    </w:p>
    <w:p w:rsidR="00AD1DA3" w:rsidRPr="00AD1DA3" w:rsidRDefault="00AD1DA3" w:rsidP="00AD1DA3">
      <w:pPr>
        <w:pStyle w:val="NormalWeb"/>
        <w:spacing w:before="0" w:beforeAutospacing="0" w:after="0" w:afterAutospacing="0"/>
        <w:rPr>
          <w:rFonts w:ascii="Gill Sans MT" w:hAnsi="Gill Sans MT"/>
          <w:sz w:val="22"/>
          <w:szCs w:val="22"/>
        </w:rPr>
      </w:pPr>
      <w:r>
        <w:rPr>
          <w:rFonts w:ascii="Gill Sans MT" w:hAnsi="Gill Sans MT" w:cs="Segoe UI"/>
          <w:color w:val="000000" w:themeColor="text1"/>
          <w:sz w:val="22"/>
          <w:szCs w:val="22"/>
        </w:rPr>
        <w:lastRenderedPageBreak/>
        <w:t xml:space="preserve">The OSS set out </w:t>
      </w:r>
      <w:r w:rsidRPr="00AD1DA3">
        <w:rPr>
          <w:rFonts w:ascii="Gill Sans MT" w:hAnsi="Gill Sans MT"/>
          <w:sz w:val="22"/>
          <w:szCs w:val="22"/>
        </w:rPr>
        <w:t xml:space="preserve">to build </w:t>
      </w:r>
      <w:r>
        <w:rPr>
          <w:rFonts w:ascii="Gill Sans MT" w:hAnsi="Gill Sans MT"/>
          <w:sz w:val="22"/>
          <w:szCs w:val="22"/>
        </w:rPr>
        <w:t>Scotland’s first</w:t>
      </w:r>
      <w:r w:rsidRPr="00AD1DA3">
        <w:rPr>
          <w:rFonts w:ascii="Gill Sans MT" w:hAnsi="Gill Sans MT"/>
          <w:sz w:val="22"/>
          <w:szCs w:val="22"/>
        </w:rPr>
        <w:t xml:space="preserve"> evidence-based platform </w:t>
      </w:r>
      <w:r>
        <w:rPr>
          <w:rFonts w:ascii="Gill Sans MT" w:hAnsi="Gill Sans MT"/>
          <w:sz w:val="22"/>
          <w:szCs w:val="22"/>
        </w:rPr>
        <w:t>to support</w:t>
      </w:r>
      <w:r w:rsidRPr="00AD1DA3">
        <w:rPr>
          <w:rFonts w:ascii="Gill Sans MT" w:hAnsi="Gill Sans MT"/>
          <w:sz w:val="22"/>
          <w:szCs w:val="22"/>
        </w:rPr>
        <w:t xml:space="preserve"> improvement across </w:t>
      </w:r>
      <w:r>
        <w:rPr>
          <w:rFonts w:ascii="Gill Sans MT" w:hAnsi="Gill Sans MT"/>
          <w:sz w:val="22"/>
          <w:szCs w:val="22"/>
        </w:rPr>
        <w:t>a</w:t>
      </w:r>
      <w:r w:rsidRPr="00AD1DA3">
        <w:rPr>
          <w:rFonts w:ascii="Gill Sans MT" w:hAnsi="Gill Sans MT"/>
          <w:sz w:val="22"/>
          <w:szCs w:val="22"/>
        </w:rPr>
        <w:t xml:space="preserve"> range of sports activities and levels, including school sport, but with a particular focus on community sport</w:t>
      </w:r>
      <w:r>
        <w:rPr>
          <w:rFonts w:ascii="Gill Sans MT" w:hAnsi="Gill Sans MT"/>
          <w:sz w:val="22"/>
          <w:szCs w:val="22"/>
        </w:rPr>
        <w:t xml:space="preserve"> -</w:t>
      </w:r>
      <w:r w:rsidRPr="00AD1DA3">
        <w:rPr>
          <w:rFonts w:ascii="Gill Sans MT" w:hAnsi="Gill Sans MT"/>
          <w:sz w:val="22"/>
          <w:szCs w:val="22"/>
        </w:rPr>
        <w:t xml:space="preserve"> the primary underpinning infrastructure</w:t>
      </w:r>
      <w:r>
        <w:rPr>
          <w:rFonts w:ascii="Gill Sans MT" w:hAnsi="Gill Sans MT"/>
          <w:sz w:val="22"/>
          <w:szCs w:val="22"/>
        </w:rPr>
        <w:t xml:space="preserve"> to Scotland’s wide sporting landscape. </w:t>
      </w:r>
      <w:r w:rsidRPr="00AD1DA3">
        <w:rPr>
          <w:rFonts w:ascii="Gill Sans MT" w:hAnsi="Gill Sans MT"/>
          <w:sz w:val="22"/>
          <w:szCs w:val="22"/>
        </w:rPr>
        <w:t xml:space="preserve">The </w:t>
      </w:r>
      <w:r>
        <w:rPr>
          <w:rFonts w:ascii="Gill Sans MT" w:hAnsi="Gill Sans MT"/>
          <w:sz w:val="22"/>
          <w:szCs w:val="22"/>
        </w:rPr>
        <w:t>OSS</w:t>
      </w:r>
      <w:r w:rsidRPr="00AD1DA3">
        <w:rPr>
          <w:rFonts w:ascii="Gill Sans MT" w:hAnsi="Gill Sans MT"/>
          <w:sz w:val="22"/>
          <w:szCs w:val="22"/>
        </w:rPr>
        <w:t xml:space="preserve"> </w:t>
      </w:r>
      <w:r>
        <w:rPr>
          <w:rFonts w:ascii="Gill Sans MT" w:hAnsi="Gill Sans MT"/>
          <w:sz w:val="22"/>
          <w:szCs w:val="22"/>
        </w:rPr>
        <w:t>was</w:t>
      </w:r>
      <w:r w:rsidRPr="00AD1DA3">
        <w:rPr>
          <w:rFonts w:ascii="Gill Sans MT" w:hAnsi="Gill Sans MT"/>
          <w:sz w:val="22"/>
          <w:szCs w:val="22"/>
        </w:rPr>
        <w:t xml:space="preserve"> built on the development of a set of criteria, recognising, but enhancing existing models, collecting data and measuring community sport participation, and facilitat</w:t>
      </w:r>
      <w:r>
        <w:rPr>
          <w:rFonts w:ascii="Gill Sans MT" w:hAnsi="Gill Sans MT"/>
          <w:sz w:val="22"/>
          <w:szCs w:val="22"/>
        </w:rPr>
        <w:t>ing</w:t>
      </w:r>
      <w:r w:rsidRPr="00AD1DA3">
        <w:rPr>
          <w:rFonts w:ascii="Gill Sans MT" w:hAnsi="Gill Sans MT"/>
          <w:sz w:val="22"/>
          <w:szCs w:val="22"/>
        </w:rPr>
        <w:t xml:space="preserve"> benchmarking with other countries</w:t>
      </w:r>
      <w:r>
        <w:rPr>
          <w:rFonts w:ascii="Gill Sans MT" w:hAnsi="Gill Sans MT"/>
          <w:sz w:val="22"/>
          <w:szCs w:val="22"/>
        </w:rPr>
        <w:t>. The OSS has</w:t>
      </w:r>
      <w:r w:rsidRPr="00AD1DA3">
        <w:rPr>
          <w:rFonts w:ascii="Gill Sans MT" w:hAnsi="Gill Sans MT"/>
          <w:sz w:val="22"/>
          <w:szCs w:val="22"/>
        </w:rPr>
        <w:t xml:space="preserve"> fill</w:t>
      </w:r>
      <w:r>
        <w:rPr>
          <w:rFonts w:ascii="Gill Sans MT" w:hAnsi="Gill Sans MT"/>
          <w:sz w:val="22"/>
          <w:szCs w:val="22"/>
        </w:rPr>
        <w:t>ed</w:t>
      </w:r>
      <w:r w:rsidRPr="00AD1DA3">
        <w:rPr>
          <w:rFonts w:ascii="Gill Sans MT" w:hAnsi="Gill Sans MT"/>
          <w:sz w:val="22"/>
          <w:szCs w:val="22"/>
        </w:rPr>
        <w:t xml:space="preserve"> a gap in the Scottish sports landscape by creating a body, which based on objective information, </w:t>
      </w:r>
      <w:r>
        <w:rPr>
          <w:rFonts w:ascii="Gill Sans MT" w:hAnsi="Gill Sans MT"/>
          <w:sz w:val="22"/>
          <w:szCs w:val="22"/>
        </w:rPr>
        <w:t>drives</w:t>
      </w:r>
      <w:r w:rsidRPr="00AD1DA3">
        <w:rPr>
          <w:rFonts w:ascii="Gill Sans MT" w:hAnsi="Gill Sans MT"/>
          <w:sz w:val="22"/>
          <w:szCs w:val="22"/>
        </w:rPr>
        <w:t xml:space="preserve"> open, ongoing and transparent debate and decision-making aimed at taking sport forward. </w:t>
      </w:r>
    </w:p>
    <w:p w:rsidR="00AD1DA3" w:rsidRPr="00AD1DA3" w:rsidRDefault="00AD1DA3" w:rsidP="00AD1DA3">
      <w:pPr>
        <w:pStyle w:val="NormalWeb"/>
        <w:spacing w:before="0" w:beforeAutospacing="0" w:after="0" w:afterAutospacing="0"/>
        <w:rPr>
          <w:rFonts w:ascii="Gill Sans MT" w:hAnsi="Gill Sans MT" w:cs="Segoe UI"/>
          <w:color w:val="000000" w:themeColor="text1"/>
          <w:sz w:val="22"/>
          <w:szCs w:val="22"/>
        </w:rPr>
      </w:pPr>
    </w:p>
    <w:p w:rsidR="00AD1DA3" w:rsidRDefault="00AD1DA3" w:rsidP="00AD1DA3">
      <w:pPr>
        <w:spacing w:after="0" w:line="240" w:lineRule="auto"/>
        <w:rPr>
          <w:rFonts w:ascii="Gill Sans MT" w:hAnsi="Gill Sans MT"/>
        </w:rPr>
      </w:pPr>
      <w:r>
        <w:rPr>
          <w:rFonts w:ascii="Gill Sans MT" w:hAnsi="Gill Sans MT"/>
        </w:rPr>
        <w:t xml:space="preserve">OSS is </w:t>
      </w:r>
      <w:r w:rsidRPr="0017105E">
        <w:rPr>
          <w:rFonts w:ascii="Gill Sans MT" w:hAnsi="Gill Sans MT"/>
        </w:rPr>
        <w:t>governed by a Board of Trustees, with a Chair</w:t>
      </w:r>
      <w:r>
        <w:rPr>
          <w:rFonts w:ascii="Gill Sans MT" w:hAnsi="Gill Sans MT"/>
        </w:rPr>
        <w:t>, Vice-Chair</w:t>
      </w:r>
      <w:r w:rsidRPr="0017105E">
        <w:rPr>
          <w:rFonts w:ascii="Gill Sans MT" w:hAnsi="Gill Sans MT"/>
        </w:rPr>
        <w:t xml:space="preserve"> and other board roles. </w:t>
      </w:r>
      <w:r>
        <w:rPr>
          <w:rFonts w:ascii="Gill Sans MT" w:hAnsi="Gill Sans MT"/>
        </w:rPr>
        <w:t>It grew from one to two staff in 2019 with the Executive Director joined by a Programme Officer, employs consultancy support as and when required and is supported by a strong team of sport, business, education and university leaders, and researchers from across the world.</w:t>
      </w:r>
    </w:p>
    <w:p w:rsidR="00AD1DA3" w:rsidRDefault="00AD1DA3" w:rsidP="00AD1DA3">
      <w:pPr>
        <w:spacing w:after="0" w:line="240" w:lineRule="auto"/>
        <w:rPr>
          <w:rFonts w:ascii="Gill Sans MT" w:hAnsi="Gill Sans MT"/>
        </w:rPr>
      </w:pPr>
    </w:p>
    <w:p w:rsidR="00AD1DA3" w:rsidRPr="00FA16DB" w:rsidRDefault="00AD1DA3" w:rsidP="00AD1DA3">
      <w:pPr>
        <w:pStyle w:val="Heading2"/>
        <w:rPr>
          <w:rFonts w:ascii="Gill Sans MT" w:hAnsi="Gill Sans MT"/>
          <w:b/>
          <w:sz w:val="24"/>
          <w:szCs w:val="24"/>
        </w:rPr>
      </w:pPr>
      <w:bookmarkStart w:id="2" w:name="_Toc41610204"/>
      <w:r>
        <w:rPr>
          <w:rFonts w:ascii="Gill Sans MT" w:hAnsi="Gill Sans MT"/>
          <w:b/>
          <w:sz w:val="24"/>
          <w:szCs w:val="24"/>
        </w:rPr>
        <w:t>OSS – The Fundraising Challenge</w:t>
      </w:r>
      <w:bookmarkEnd w:id="2"/>
    </w:p>
    <w:p w:rsidR="00AD1DA3" w:rsidRDefault="00AD1DA3" w:rsidP="00AD1DA3">
      <w:pPr>
        <w:spacing w:after="0" w:line="240" w:lineRule="auto"/>
        <w:rPr>
          <w:rFonts w:ascii="Gill Sans MT" w:hAnsi="Gill Sans MT"/>
          <w:b/>
        </w:rPr>
      </w:pPr>
    </w:p>
    <w:p w:rsidR="00AD1DA3" w:rsidRDefault="006A02BC" w:rsidP="00AD1DA3">
      <w:pPr>
        <w:spacing w:after="0" w:line="240" w:lineRule="auto"/>
        <w:rPr>
          <w:rFonts w:ascii="Gill Sans MT" w:hAnsi="Gill Sans MT"/>
        </w:rPr>
      </w:pPr>
      <w:r>
        <w:rPr>
          <w:rFonts w:ascii="Gill Sans MT" w:hAnsi="Gill Sans MT"/>
        </w:rPr>
        <w:t xml:space="preserve">From 2015-19, OSS secured over £287,000 (£232,000 core and £55,000 research) in funding to develop the organisation and research. </w:t>
      </w:r>
      <w:r w:rsidR="00AD1DA3">
        <w:rPr>
          <w:rFonts w:ascii="Gill Sans MT" w:hAnsi="Gill Sans MT"/>
        </w:rPr>
        <w:t xml:space="preserve">OSS </w:t>
      </w:r>
      <w:r>
        <w:rPr>
          <w:rFonts w:ascii="Gill Sans MT" w:hAnsi="Gill Sans MT"/>
        </w:rPr>
        <w:t xml:space="preserve">now </w:t>
      </w:r>
      <w:r w:rsidR="00AD1DA3">
        <w:rPr>
          <w:rFonts w:ascii="Gill Sans MT" w:hAnsi="Gill Sans MT"/>
        </w:rPr>
        <w:t>seeks to raise a minimum of £150,000 per annum to develop its programme of research and grow its staff base to support this</w:t>
      </w:r>
      <w:r>
        <w:rPr>
          <w:rFonts w:ascii="Gill Sans MT" w:hAnsi="Gill Sans MT"/>
        </w:rPr>
        <w:t>, however, t</w:t>
      </w:r>
      <w:r w:rsidR="00AD1DA3">
        <w:rPr>
          <w:rFonts w:ascii="Gill Sans MT" w:hAnsi="Gill Sans MT"/>
        </w:rPr>
        <w:t xml:space="preserve">he charity has an aspiration to raise </w:t>
      </w:r>
      <w:r>
        <w:rPr>
          <w:rFonts w:ascii="Gill Sans MT" w:hAnsi="Gill Sans MT"/>
        </w:rPr>
        <w:t xml:space="preserve">a total of </w:t>
      </w:r>
      <w:r w:rsidR="00AD1DA3">
        <w:rPr>
          <w:rFonts w:ascii="Gill Sans MT" w:hAnsi="Gill Sans MT"/>
        </w:rPr>
        <w:t xml:space="preserve">£1,000,000 </w:t>
      </w:r>
      <w:r>
        <w:rPr>
          <w:rFonts w:ascii="Gill Sans MT" w:hAnsi="Gill Sans MT"/>
        </w:rPr>
        <w:t>by 20</w:t>
      </w:r>
      <w:r w:rsidR="00AD1DA3">
        <w:rPr>
          <w:rFonts w:ascii="Gill Sans MT" w:hAnsi="Gill Sans MT"/>
        </w:rPr>
        <w:t>23.</w:t>
      </w:r>
    </w:p>
    <w:p w:rsidR="00AD1DA3" w:rsidRDefault="00AD1DA3" w:rsidP="00AD1DA3">
      <w:pPr>
        <w:spacing w:after="0" w:line="240" w:lineRule="auto"/>
        <w:rPr>
          <w:rFonts w:ascii="Gill Sans MT" w:hAnsi="Gill Sans MT"/>
        </w:rPr>
      </w:pPr>
    </w:p>
    <w:p w:rsidR="006A02BC" w:rsidRDefault="00AD1DA3" w:rsidP="00EE64F6">
      <w:pPr>
        <w:spacing w:after="0" w:line="240" w:lineRule="auto"/>
        <w:rPr>
          <w:rFonts w:ascii="Gill Sans MT" w:hAnsi="Gill Sans MT"/>
          <w:b/>
          <w:sz w:val="24"/>
          <w:szCs w:val="24"/>
        </w:rPr>
      </w:pPr>
      <w:r>
        <w:rPr>
          <w:rFonts w:ascii="Gill Sans MT" w:hAnsi="Gill Sans MT"/>
        </w:rPr>
        <w:t>To date, fundraising for OSS has been undertaken by a well skilled and experienced volunteer, who has secured the funding required to maintain OSS at the current level</w:t>
      </w:r>
      <w:r w:rsidR="006A02BC">
        <w:rPr>
          <w:rFonts w:ascii="Gill Sans MT" w:hAnsi="Gill Sans MT"/>
        </w:rPr>
        <w:t xml:space="preserve"> </w:t>
      </w:r>
      <w:r>
        <w:rPr>
          <w:rFonts w:ascii="Gill Sans MT" w:hAnsi="Gill Sans MT"/>
        </w:rPr>
        <w:t xml:space="preserve">primarily through individual contacts. </w:t>
      </w:r>
      <w:r w:rsidR="006A02BC">
        <w:rPr>
          <w:rFonts w:ascii="Gill Sans MT" w:hAnsi="Gill Sans MT"/>
        </w:rPr>
        <w:t xml:space="preserve">In 2019-20, OSS has increased its reach from 200 contacts to over 1,000 and implemented a new Customer Relationship Management (CRM) system to establish a more professional and effective recording, management and stewardship system. </w:t>
      </w:r>
      <w:r>
        <w:rPr>
          <w:rFonts w:ascii="Gill Sans MT" w:hAnsi="Gill Sans MT"/>
        </w:rPr>
        <w:t xml:space="preserve">OSS now needs to build from this, diversify fundraising income streams and deliver a fundraising step change to deliver the necessary funding required for the survival and growth of the organisation. </w:t>
      </w:r>
    </w:p>
    <w:p w:rsidR="006A02BC" w:rsidRDefault="006A02BC" w:rsidP="00AD1DA3">
      <w:pPr>
        <w:pStyle w:val="Heading2"/>
        <w:rPr>
          <w:rFonts w:ascii="Gill Sans MT" w:hAnsi="Gill Sans MT"/>
          <w:b/>
          <w:sz w:val="24"/>
          <w:szCs w:val="24"/>
        </w:rPr>
      </w:pPr>
    </w:p>
    <w:p w:rsidR="005A0701" w:rsidRPr="00FA16DB" w:rsidRDefault="005A0701" w:rsidP="005A0701">
      <w:pPr>
        <w:pStyle w:val="Heading2"/>
        <w:rPr>
          <w:rFonts w:ascii="Gill Sans MT" w:hAnsi="Gill Sans MT"/>
          <w:b/>
          <w:sz w:val="24"/>
          <w:szCs w:val="24"/>
        </w:rPr>
      </w:pPr>
      <w:bookmarkStart w:id="3" w:name="_Toc41610205"/>
      <w:r w:rsidRPr="00FA16DB">
        <w:rPr>
          <w:rFonts w:ascii="Gill Sans MT" w:hAnsi="Gill Sans MT"/>
          <w:b/>
          <w:sz w:val="24"/>
          <w:szCs w:val="24"/>
        </w:rPr>
        <w:t xml:space="preserve">Developing a Positive Fundraising Culture </w:t>
      </w:r>
      <w:r>
        <w:rPr>
          <w:rFonts w:ascii="Gill Sans MT" w:hAnsi="Gill Sans MT"/>
          <w:b/>
          <w:sz w:val="24"/>
          <w:szCs w:val="24"/>
        </w:rPr>
        <w:t>at OSS</w:t>
      </w:r>
      <w:bookmarkEnd w:id="3"/>
    </w:p>
    <w:p w:rsidR="005A0701" w:rsidRPr="0017105E" w:rsidRDefault="005A0701" w:rsidP="005A0701">
      <w:pPr>
        <w:spacing w:after="0" w:line="240" w:lineRule="auto"/>
        <w:rPr>
          <w:rFonts w:ascii="Gill Sans MT" w:hAnsi="Gill Sans MT"/>
          <w:b/>
        </w:rPr>
      </w:pPr>
    </w:p>
    <w:p w:rsidR="005A0701" w:rsidRDefault="005A0701" w:rsidP="005A0701">
      <w:pPr>
        <w:spacing w:after="0" w:line="240" w:lineRule="auto"/>
        <w:rPr>
          <w:rFonts w:ascii="Gill Sans MT" w:hAnsi="Gill Sans MT"/>
        </w:rPr>
      </w:pPr>
      <w:r w:rsidRPr="0017105E">
        <w:rPr>
          <w:rFonts w:ascii="Gill Sans MT" w:hAnsi="Gill Sans MT"/>
        </w:rPr>
        <w:t xml:space="preserve">This </w:t>
      </w:r>
      <w:r>
        <w:rPr>
          <w:rFonts w:ascii="Gill Sans MT" w:hAnsi="Gill Sans MT"/>
        </w:rPr>
        <w:t xml:space="preserve">short </w:t>
      </w:r>
      <w:r w:rsidRPr="0017105E">
        <w:rPr>
          <w:rFonts w:ascii="Gill Sans MT" w:hAnsi="Gill Sans MT"/>
        </w:rPr>
        <w:t xml:space="preserve">section of the strategy looks at </w:t>
      </w:r>
      <w:r>
        <w:rPr>
          <w:rFonts w:ascii="Gill Sans MT" w:hAnsi="Gill Sans MT"/>
        </w:rPr>
        <w:t xml:space="preserve">how OSS </w:t>
      </w:r>
      <w:r w:rsidR="00E34E90">
        <w:rPr>
          <w:rFonts w:ascii="Gill Sans MT" w:hAnsi="Gill Sans MT"/>
        </w:rPr>
        <w:t>seeks to</w:t>
      </w:r>
      <w:r>
        <w:rPr>
          <w:rFonts w:ascii="Gill Sans MT" w:hAnsi="Gill Sans MT"/>
        </w:rPr>
        <w:t xml:space="preserve"> embed a positive fundraising culture </w:t>
      </w:r>
      <w:r w:rsidR="00E34E90">
        <w:rPr>
          <w:rFonts w:ascii="Gill Sans MT" w:hAnsi="Gill Sans MT"/>
        </w:rPr>
        <w:t>to ensure</w:t>
      </w:r>
      <w:r>
        <w:rPr>
          <w:rFonts w:ascii="Gill Sans MT" w:hAnsi="Gill Sans MT"/>
        </w:rPr>
        <w:t xml:space="preserve"> ambi</w:t>
      </w:r>
      <w:r w:rsidRPr="0017105E">
        <w:rPr>
          <w:rFonts w:ascii="Gill Sans MT" w:hAnsi="Gill Sans MT"/>
        </w:rPr>
        <w:t>tious fundraising targets can be achieved.</w:t>
      </w:r>
      <w:r>
        <w:rPr>
          <w:rFonts w:ascii="Gill Sans MT" w:hAnsi="Gill Sans MT"/>
        </w:rPr>
        <w:t xml:space="preserve"> This is important </w:t>
      </w:r>
      <w:r w:rsidR="00E34E90">
        <w:rPr>
          <w:rFonts w:ascii="Gill Sans MT" w:hAnsi="Gill Sans MT"/>
        </w:rPr>
        <w:t xml:space="preserve">for an organisation as small as the OSS as </w:t>
      </w:r>
      <w:r>
        <w:rPr>
          <w:rFonts w:ascii="Gill Sans MT" w:hAnsi="Gill Sans MT"/>
        </w:rPr>
        <w:t xml:space="preserve">fundraising success depends on </w:t>
      </w:r>
      <w:r w:rsidR="00E34E90">
        <w:rPr>
          <w:rFonts w:ascii="Gill Sans MT" w:hAnsi="Gill Sans MT"/>
        </w:rPr>
        <w:t>maximising its staff and volunteer resources.</w:t>
      </w:r>
    </w:p>
    <w:p w:rsidR="005A0701" w:rsidRPr="0017105E" w:rsidRDefault="005A0701" w:rsidP="005A0701">
      <w:pPr>
        <w:spacing w:after="0" w:line="240" w:lineRule="auto"/>
        <w:rPr>
          <w:rFonts w:ascii="Gill Sans MT" w:hAnsi="Gill Sans MT"/>
        </w:rPr>
      </w:pPr>
      <w:r w:rsidRPr="0017105E">
        <w:rPr>
          <w:rFonts w:ascii="Gill Sans MT" w:hAnsi="Gill Sans MT"/>
        </w:rPr>
        <w:t xml:space="preserve">  </w:t>
      </w:r>
    </w:p>
    <w:p w:rsidR="005A0701" w:rsidRPr="0017105E" w:rsidRDefault="005A0701" w:rsidP="005A0701">
      <w:pPr>
        <w:spacing w:after="0" w:line="240" w:lineRule="auto"/>
        <w:rPr>
          <w:rFonts w:ascii="Gill Sans MT" w:hAnsi="Gill Sans MT"/>
        </w:rPr>
      </w:pPr>
      <w:r>
        <w:rPr>
          <w:rFonts w:ascii="Gill Sans MT" w:hAnsi="Gill Sans MT"/>
        </w:rPr>
        <w:t>All c</w:t>
      </w:r>
      <w:r w:rsidRPr="0017105E">
        <w:rPr>
          <w:rFonts w:ascii="Gill Sans MT" w:hAnsi="Gill Sans MT"/>
        </w:rPr>
        <w:t xml:space="preserve">harities </w:t>
      </w:r>
      <w:r>
        <w:rPr>
          <w:rFonts w:ascii="Gill Sans MT" w:hAnsi="Gill Sans MT"/>
        </w:rPr>
        <w:t>are formed</w:t>
      </w:r>
      <w:r w:rsidRPr="0017105E">
        <w:rPr>
          <w:rFonts w:ascii="Gill Sans MT" w:hAnsi="Gill Sans MT"/>
        </w:rPr>
        <w:t xml:space="preserve"> to solve a problem, to find solutions and to drive change</w:t>
      </w:r>
      <w:r w:rsidR="00E34E90">
        <w:rPr>
          <w:rFonts w:ascii="Gill Sans MT" w:hAnsi="Gill Sans MT"/>
        </w:rPr>
        <w:t>, and OSS was created to address decline in Scotland’s sporting landscape</w:t>
      </w:r>
      <w:r w:rsidRPr="0017105E">
        <w:rPr>
          <w:rFonts w:ascii="Gill Sans MT" w:hAnsi="Gill Sans MT"/>
        </w:rPr>
        <w:t xml:space="preserve">. Change is rarely easy, especially in the fast-moving environment that charities operate in today. Many are experiencing cuts as well as increased competition and Brexit </w:t>
      </w:r>
      <w:r>
        <w:rPr>
          <w:rFonts w:ascii="Gill Sans MT" w:hAnsi="Gill Sans MT"/>
        </w:rPr>
        <w:t xml:space="preserve">and COVID-19 </w:t>
      </w:r>
      <w:r w:rsidR="00E34E90">
        <w:rPr>
          <w:rFonts w:ascii="Gill Sans MT" w:hAnsi="Gill Sans MT"/>
        </w:rPr>
        <w:t xml:space="preserve">have </w:t>
      </w:r>
      <w:r w:rsidRPr="0017105E">
        <w:rPr>
          <w:rFonts w:ascii="Gill Sans MT" w:hAnsi="Gill Sans MT"/>
        </w:rPr>
        <w:t>added to these pressures. Charit</w:t>
      </w:r>
      <w:r w:rsidR="00E34E90">
        <w:rPr>
          <w:rFonts w:ascii="Gill Sans MT" w:hAnsi="Gill Sans MT"/>
        </w:rPr>
        <w:t xml:space="preserve">ies and their supporters </w:t>
      </w:r>
      <w:r w:rsidRPr="0017105E">
        <w:rPr>
          <w:rFonts w:ascii="Gill Sans MT" w:hAnsi="Gill Sans MT"/>
        </w:rPr>
        <w:t>are constantly connected and distracted, their attention split between a barrage of instant social media updates and the real world outside. Because supporters expect fast responses and information in ‘real time’, the environment for fundraising by charities has never been tougher.</w:t>
      </w:r>
    </w:p>
    <w:p w:rsidR="005A0701" w:rsidRPr="0017105E" w:rsidRDefault="005A0701" w:rsidP="005A0701">
      <w:pPr>
        <w:spacing w:after="0" w:line="240" w:lineRule="auto"/>
        <w:rPr>
          <w:rFonts w:ascii="Gill Sans MT" w:hAnsi="Gill Sans MT"/>
        </w:rPr>
      </w:pPr>
    </w:p>
    <w:p w:rsidR="005A0701" w:rsidRPr="0017105E" w:rsidRDefault="005A0701" w:rsidP="005A0701">
      <w:pPr>
        <w:spacing w:after="0" w:line="240" w:lineRule="auto"/>
        <w:rPr>
          <w:rFonts w:ascii="Gill Sans MT" w:hAnsi="Gill Sans MT"/>
        </w:rPr>
      </w:pPr>
      <w:r w:rsidRPr="0017105E">
        <w:rPr>
          <w:rFonts w:ascii="Gill Sans MT" w:hAnsi="Gill Sans MT"/>
        </w:rPr>
        <w:lastRenderedPageBreak/>
        <w:t xml:space="preserve">In </w:t>
      </w:r>
      <w:r w:rsidR="00E34E90">
        <w:rPr>
          <w:rFonts w:ascii="Gill Sans MT" w:hAnsi="Gill Sans MT"/>
        </w:rPr>
        <w:t>the OSS,</w:t>
      </w:r>
      <w:r w:rsidRPr="0017105E">
        <w:rPr>
          <w:rFonts w:ascii="Gill Sans MT" w:hAnsi="Gill Sans MT"/>
        </w:rPr>
        <w:t xml:space="preserve"> fundraising stretches wider </w:t>
      </w:r>
      <w:r>
        <w:rPr>
          <w:rFonts w:ascii="Gill Sans MT" w:hAnsi="Gill Sans MT"/>
        </w:rPr>
        <w:t>merely</w:t>
      </w:r>
      <w:r w:rsidRPr="0017105E">
        <w:rPr>
          <w:rFonts w:ascii="Gill Sans MT" w:hAnsi="Gill Sans MT"/>
        </w:rPr>
        <w:t xml:space="preserve"> th</w:t>
      </w:r>
      <w:r w:rsidR="00E34E90">
        <w:rPr>
          <w:rFonts w:ascii="Gill Sans MT" w:hAnsi="Gill Sans MT"/>
        </w:rPr>
        <w:t>an the Director and Programme Officer,</w:t>
      </w:r>
      <w:r w:rsidRPr="0017105E">
        <w:rPr>
          <w:rFonts w:ascii="Gill Sans MT" w:hAnsi="Gill Sans MT"/>
        </w:rPr>
        <w:t xml:space="preserve"> </w:t>
      </w:r>
      <w:r>
        <w:rPr>
          <w:rFonts w:ascii="Gill Sans MT" w:hAnsi="Gill Sans MT"/>
        </w:rPr>
        <w:t>and</w:t>
      </w:r>
      <w:r w:rsidRPr="0017105E">
        <w:rPr>
          <w:rFonts w:ascii="Gill Sans MT" w:hAnsi="Gill Sans MT"/>
        </w:rPr>
        <w:t xml:space="preserve"> actively involves and is enthusiastically supported by </w:t>
      </w:r>
      <w:r w:rsidR="00E34E90">
        <w:rPr>
          <w:rFonts w:ascii="Gill Sans MT" w:hAnsi="Gill Sans MT"/>
        </w:rPr>
        <w:t>voluntary board members and advisers</w:t>
      </w:r>
      <w:r w:rsidRPr="0017105E">
        <w:rPr>
          <w:rFonts w:ascii="Gill Sans MT" w:hAnsi="Gill Sans MT"/>
        </w:rPr>
        <w:t xml:space="preserve">. </w:t>
      </w:r>
      <w:r w:rsidR="00E34E90">
        <w:rPr>
          <w:rFonts w:ascii="Gill Sans MT" w:hAnsi="Gill Sans MT"/>
        </w:rPr>
        <w:t xml:space="preserve">Ensuring everyone is valued in this </w:t>
      </w:r>
      <w:r w:rsidRPr="0017105E">
        <w:rPr>
          <w:rFonts w:ascii="Gill Sans MT" w:hAnsi="Gill Sans MT"/>
        </w:rPr>
        <w:t xml:space="preserve">fundraising culture </w:t>
      </w:r>
      <w:r w:rsidR="00E34E90">
        <w:rPr>
          <w:rFonts w:ascii="Gill Sans MT" w:hAnsi="Gill Sans MT"/>
        </w:rPr>
        <w:t>is key to a achieving</w:t>
      </w:r>
      <w:r w:rsidRPr="0017105E">
        <w:rPr>
          <w:rFonts w:ascii="Gill Sans MT" w:hAnsi="Gill Sans MT"/>
        </w:rPr>
        <w:t xml:space="preserve"> </w:t>
      </w:r>
      <w:r w:rsidR="00E34E90">
        <w:rPr>
          <w:rFonts w:ascii="Gill Sans MT" w:hAnsi="Gill Sans MT"/>
        </w:rPr>
        <w:t>the OSS</w:t>
      </w:r>
      <w:r w:rsidRPr="0017105E">
        <w:rPr>
          <w:rFonts w:ascii="Gill Sans MT" w:hAnsi="Gill Sans MT"/>
        </w:rPr>
        <w:t xml:space="preserve"> ambition and vision</w:t>
      </w:r>
      <w:r w:rsidR="00E34E90">
        <w:rPr>
          <w:rFonts w:ascii="Gill Sans MT" w:hAnsi="Gill Sans MT"/>
        </w:rPr>
        <w:t>.</w:t>
      </w:r>
    </w:p>
    <w:p w:rsidR="005A0701" w:rsidRPr="0017105E" w:rsidRDefault="005A0701" w:rsidP="005A0701">
      <w:pPr>
        <w:spacing w:after="0" w:line="240" w:lineRule="auto"/>
        <w:rPr>
          <w:rFonts w:ascii="Gill Sans MT" w:hAnsi="Gill Sans MT"/>
        </w:rPr>
      </w:pPr>
    </w:p>
    <w:p w:rsidR="005A0701" w:rsidRPr="0017105E" w:rsidRDefault="005A0701" w:rsidP="005A0701">
      <w:pPr>
        <w:spacing w:after="0" w:line="240" w:lineRule="auto"/>
        <w:rPr>
          <w:rFonts w:ascii="Gill Sans MT" w:hAnsi="Gill Sans MT"/>
        </w:rPr>
      </w:pPr>
      <w:r w:rsidRPr="0017105E">
        <w:rPr>
          <w:rFonts w:ascii="Gill Sans MT" w:hAnsi="Gill Sans MT"/>
        </w:rPr>
        <w:t xml:space="preserve">For </w:t>
      </w:r>
      <w:r>
        <w:rPr>
          <w:rFonts w:ascii="Gill Sans MT" w:hAnsi="Gill Sans MT"/>
        </w:rPr>
        <w:t>OSS</w:t>
      </w:r>
      <w:r w:rsidRPr="0017105E">
        <w:rPr>
          <w:rFonts w:ascii="Gill Sans MT" w:hAnsi="Gill Sans MT"/>
        </w:rPr>
        <w:t xml:space="preserve"> to achieve the vision</w:t>
      </w:r>
      <w:r>
        <w:rPr>
          <w:rFonts w:ascii="Gill Sans MT" w:hAnsi="Gill Sans MT"/>
        </w:rPr>
        <w:t xml:space="preserve">, </w:t>
      </w:r>
      <w:r w:rsidRPr="0017105E">
        <w:rPr>
          <w:rFonts w:ascii="Gill Sans MT" w:hAnsi="Gill Sans MT"/>
        </w:rPr>
        <w:t>mission</w:t>
      </w:r>
      <w:r>
        <w:rPr>
          <w:rFonts w:ascii="Gill Sans MT" w:hAnsi="Gill Sans MT"/>
        </w:rPr>
        <w:t xml:space="preserve"> and fundraising targets in the time required, it </w:t>
      </w:r>
      <w:r w:rsidR="00E34E90">
        <w:rPr>
          <w:rFonts w:ascii="Gill Sans MT" w:hAnsi="Gill Sans MT"/>
        </w:rPr>
        <w:t xml:space="preserve">seeks to </w:t>
      </w:r>
      <w:r w:rsidR="00B20AB0">
        <w:rPr>
          <w:rFonts w:ascii="Gill Sans MT" w:hAnsi="Gill Sans MT"/>
        </w:rPr>
        <w:t>adhere to</w:t>
      </w:r>
      <w:r w:rsidRPr="0017105E">
        <w:rPr>
          <w:rFonts w:ascii="Gill Sans MT" w:hAnsi="Gill Sans MT"/>
        </w:rPr>
        <w:t xml:space="preserve"> two key cultural challenges:</w:t>
      </w:r>
    </w:p>
    <w:p w:rsidR="005A0701" w:rsidRPr="0017105E" w:rsidRDefault="005A0701" w:rsidP="005A0701">
      <w:pPr>
        <w:spacing w:after="0" w:line="240" w:lineRule="auto"/>
        <w:rPr>
          <w:rFonts w:ascii="Gill Sans MT" w:hAnsi="Gill Sans MT"/>
        </w:rPr>
      </w:pPr>
    </w:p>
    <w:p w:rsidR="005A0701" w:rsidRPr="0017105E" w:rsidRDefault="005A0701" w:rsidP="005A0701">
      <w:pPr>
        <w:pStyle w:val="ListParagraph"/>
        <w:numPr>
          <w:ilvl w:val="0"/>
          <w:numId w:val="10"/>
        </w:numPr>
        <w:spacing w:after="0" w:line="240" w:lineRule="auto"/>
        <w:rPr>
          <w:rFonts w:ascii="Gill Sans MT" w:hAnsi="Gill Sans MT"/>
        </w:rPr>
      </w:pPr>
      <w:r>
        <w:rPr>
          <w:rFonts w:ascii="Gill Sans MT" w:hAnsi="Gill Sans MT"/>
        </w:rPr>
        <w:t>OSS</w:t>
      </w:r>
      <w:r w:rsidRPr="0017105E">
        <w:rPr>
          <w:rFonts w:ascii="Gill Sans MT" w:hAnsi="Gill Sans MT"/>
        </w:rPr>
        <w:t xml:space="preserve"> must be every bit as proud of its fundraising and its fundraisers as it is of its mission and vision</w:t>
      </w:r>
      <w:r>
        <w:rPr>
          <w:rFonts w:ascii="Gill Sans MT" w:hAnsi="Gill Sans MT"/>
        </w:rPr>
        <w:t>; and</w:t>
      </w:r>
    </w:p>
    <w:p w:rsidR="005A0701" w:rsidRPr="0017105E" w:rsidRDefault="005A0701" w:rsidP="005A0701">
      <w:pPr>
        <w:pStyle w:val="ListParagraph"/>
        <w:numPr>
          <w:ilvl w:val="0"/>
          <w:numId w:val="10"/>
        </w:numPr>
        <w:spacing w:after="0" w:line="240" w:lineRule="auto"/>
        <w:rPr>
          <w:rFonts w:ascii="Gill Sans MT" w:hAnsi="Gill Sans MT"/>
        </w:rPr>
      </w:pPr>
      <w:r w:rsidRPr="0017105E">
        <w:rPr>
          <w:rFonts w:ascii="Gill Sans MT" w:hAnsi="Gill Sans MT"/>
        </w:rPr>
        <w:t>Every</w:t>
      </w:r>
      <w:r>
        <w:rPr>
          <w:rFonts w:ascii="Gill Sans MT" w:hAnsi="Gill Sans MT"/>
        </w:rPr>
        <w:t>one within OSS s</w:t>
      </w:r>
      <w:r w:rsidRPr="0017105E">
        <w:rPr>
          <w:rFonts w:ascii="Gill Sans MT" w:hAnsi="Gill Sans MT"/>
        </w:rPr>
        <w:t>hould view themselves as being essential to successful fundraising</w:t>
      </w:r>
      <w:r w:rsidR="00E34E90">
        <w:rPr>
          <w:rFonts w:ascii="Gill Sans MT" w:hAnsi="Gill Sans MT"/>
        </w:rPr>
        <w:t xml:space="preserve"> and clear of their role in it.</w:t>
      </w:r>
    </w:p>
    <w:p w:rsidR="005A0701" w:rsidRPr="0017105E" w:rsidRDefault="005A0701" w:rsidP="005A0701">
      <w:pPr>
        <w:spacing w:after="0" w:line="240" w:lineRule="auto"/>
        <w:rPr>
          <w:rFonts w:ascii="Gill Sans MT" w:hAnsi="Gill Sans MT"/>
        </w:rPr>
      </w:pPr>
    </w:p>
    <w:p w:rsidR="005A0701" w:rsidRPr="0017105E" w:rsidRDefault="005A0701" w:rsidP="005A0701">
      <w:pPr>
        <w:spacing w:after="0" w:line="240" w:lineRule="auto"/>
        <w:rPr>
          <w:rFonts w:ascii="Gill Sans MT" w:hAnsi="Gill Sans MT"/>
        </w:rPr>
      </w:pPr>
      <w:r w:rsidRPr="0017105E">
        <w:rPr>
          <w:rFonts w:ascii="Gill Sans MT" w:hAnsi="Gill Sans MT"/>
        </w:rPr>
        <w:t xml:space="preserve">To achieve the above, </w:t>
      </w:r>
      <w:r>
        <w:rPr>
          <w:rFonts w:ascii="Gill Sans MT" w:hAnsi="Gill Sans MT"/>
        </w:rPr>
        <w:t xml:space="preserve">OSS </w:t>
      </w:r>
      <w:r w:rsidRPr="0017105E">
        <w:rPr>
          <w:rFonts w:ascii="Gill Sans MT" w:hAnsi="Gill Sans MT"/>
        </w:rPr>
        <w:t>look</w:t>
      </w:r>
      <w:r w:rsidR="00B20AB0">
        <w:rPr>
          <w:rFonts w:ascii="Gill Sans MT" w:hAnsi="Gill Sans MT"/>
        </w:rPr>
        <w:t>s</w:t>
      </w:r>
      <w:r w:rsidRPr="0017105E">
        <w:rPr>
          <w:rFonts w:ascii="Gill Sans MT" w:hAnsi="Gill Sans MT"/>
        </w:rPr>
        <w:t xml:space="preserve"> to ensure that the </w:t>
      </w:r>
      <w:r w:rsidR="00B20AB0">
        <w:rPr>
          <w:rFonts w:ascii="Gill Sans MT" w:hAnsi="Gill Sans MT"/>
        </w:rPr>
        <w:t xml:space="preserve">tried and tested methodology of the </w:t>
      </w:r>
      <w:r w:rsidRPr="0017105E">
        <w:rPr>
          <w:rFonts w:ascii="Gill Sans MT" w:hAnsi="Gill Sans MT"/>
        </w:rPr>
        <w:t xml:space="preserve">seven pillars for successful fundraising are in place, </w:t>
      </w:r>
      <w:r>
        <w:rPr>
          <w:rFonts w:ascii="Gill Sans MT" w:hAnsi="Gill Sans MT"/>
        </w:rPr>
        <w:t xml:space="preserve">as they embark on raising all the funds needed to secure a sustainable future and to finance the research required to drive change in sport participation in Scotland. </w:t>
      </w:r>
      <w:r w:rsidRPr="0017105E">
        <w:rPr>
          <w:rFonts w:ascii="Gill Sans MT" w:hAnsi="Gill Sans MT"/>
        </w:rPr>
        <w:t>The seven pillars are:</w:t>
      </w:r>
    </w:p>
    <w:p w:rsidR="005A0701" w:rsidRPr="0017105E" w:rsidRDefault="005A0701" w:rsidP="005A0701">
      <w:pPr>
        <w:spacing w:after="0" w:line="240" w:lineRule="auto"/>
        <w:rPr>
          <w:rFonts w:ascii="Gill Sans MT" w:hAnsi="Gill Sans MT"/>
        </w:rPr>
      </w:pPr>
    </w:p>
    <w:p w:rsidR="005A0701" w:rsidRPr="0017105E" w:rsidRDefault="005A0701" w:rsidP="005A0701">
      <w:pPr>
        <w:pStyle w:val="ListParagraph"/>
        <w:numPr>
          <w:ilvl w:val="0"/>
          <w:numId w:val="11"/>
        </w:numPr>
        <w:spacing w:after="0" w:line="240" w:lineRule="auto"/>
        <w:rPr>
          <w:rFonts w:ascii="Gill Sans MT" w:hAnsi="Gill Sans MT"/>
        </w:rPr>
      </w:pPr>
      <w:r w:rsidRPr="0017105E">
        <w:rPr>
          <w:rFonts w:ascii="Gill Sans MT" w:hAnsi="Gill Sans MT"/>
          <w:b/>
        </w:rPr>
        <w:t xml:space="preserve">Leadership </w:t>
      </w:r>
      <w:r w:rsidRPr="0017105E">
        <w:rPr>
          <w:rFonts w:ascii="Gill Sans MT" w:hAnsi="Gill Sans MT"/>
        </w:rPr>
        <w:t>- Fundraising should be led from the top</w:t>
      </w:r>
      <w:r w:rsidR="00B20AB0">
        <w:rPr>
          <w:rFonts w:ascii="Gill Sans MT" w:hAnsi="Gill Sans MT"/>
        </w:rPr>
        <w:t>, by the Director and Chairman,</w:t>
      </w:r>
      <w:r w:rsidRPr="0017105E">
        <w:rPr>
          <w:rFonts w:ascii="Gill Sans MT" w:hAnsi="Gill Sans MT"/>
        </w:rPr>
        <w:t xml:space="preserve"> and by example. </w:t>
      </w:r>
      <w:r>
        <w:rPr>
          <w:rFonts w:ascii="Gill Sans MT" w:hAnsi="Gill Sans MT"/>
        </w:rPr>
        <w:t xml:space="preserve">OSS must </w:t>
      </w:r>
      <w:r w:rsidRPr="0017105E">
        <w:rPr>
          <w:rFonts w:ascii="Gill Sans MT" w:hAnsi="Gill Sans MT"/>
        </w:rPr>
        <w:t xml:space="preserve">inculcate </w:t>
      </w:r>
      <w:r>
        <w:rPr>
          <w:rFonts w:ascii="Gill Sans MT" w:hAnsi="Gill Sans MT"/>
        </w:rPr>
        <w:t>across the organisation</w:t>
      </w:r>
      <w:r w:rsidRPr="0017105E">
        <w:rPr>
          <w:rFonts w:ascii="Gill Sans MT" w:hAnsi="Gill Sans MT"/>
        </w:rPr>
        <w:t xml:space="preserve"> the fundamental belief that money and the mission are the same. Without effective fundraising, </w:t>
      </w:r>
      <w:r>
        <w:rPr>
          <w:rFonts w:ascii="Gill Sans MT" w:hAnsi="Gill Sans MT"/>
        </w:rPr>
        <w:t xml:space="preserve">OSS will </w:t>
      </w:r>
      <w:r w:rsidRPr="0017105E">
        <w:rPr>
          <w:rFonts w:ascii="Gill Sans MT" w:hAnsi="Gill Sans MT"/>
        </w:rPr>
        <w:t xml:space="preserve">not </w:t>
      </w:r>
      <w:r>
        <w:rPr>
          <w:rFonts w:ascii="Gill Sans MT" w:hAnsi="Gill Sans MT"/>
        </w:rPr>
        <w:t>achieve the aims of the organisation</w:t>
      </w:r>
      <w:r w:rsidRPr="0017105E">
        <w:rPr>
          <w:rFonts w:ascii="Gill Sans MT" w:hAnsi="Gill Sans MT"/>
        </w:rPr>
        <w:t>.</w:t>
      </w:r>
    </w:p>
    <w:p w:rsidR="005A0701" w:rsidRPr="0017105E" w:rsidRDefault="005A0701" w:rsidP="005A0701">
      <w:pPr>
        <w:pStyle w:val="ListParagraph"/>
        <w:numPr>
          <w:ilvl w:val="0"/>
          <w:numId w:val="11"/>
        </w:numPr>
        <w:spacing w:after="0" w:line="240" w:lineRule="auto"/>
        <w:rPr>
          <w:rFonts w:ascii="Gill Sans MT" w:hAnsi="Gill Sans MT"/>
        </w:rPr>
      </w:pPr>
      <w:r w:rsidRPr="0017105E">
        <w:rPr>
          <w:rFonts w:ascii="Gill Sans MT" w:hAnsi="Gill Sans MT"/>
          <w:b/>
        </w:rPr>
        <w:t xml:space="preserve">Unity </w:t>
      </w:r>
      <w:r w:rsidRPr="0017105E">
        <w:rPr>
          <w:rFonts w:ascii="Gill Sans MT" w:hAnsi="Gill Sans MT"/>
        </w:rPr>
        <w:t xml:space="preserve">– </w:t>
      </w:r>
      <w:r>
        <w:rPr>
          <w:rFonts w:ascii="Gill Sans MT" w:hAnsi="Gill Sans MT"/>
        </w:rPr>
        <w:t>OSS is more than simply a fundraising vehicle but the whole organisation</w:t>
      </w:r>
      <w:r w:rsidRPr="0017105E">
        <w:rPr>
          <w:rFonts w:ascii="Gill Sans MT" w:hAnsi="Gill Sans MT"/>
        </w:rPr>
        <w:t xml:space="preserve"> </w:t>
      </w:r>
      <w:r w:rsidR="00B20AB0">
        <w:rPr>
          <w:rFonts w:ascii="Gill Sans MT" w:hAnsi="Gill Sans MT"/>
        </w:rPr>
        <w:t>must</w:t>
      </w:r>
      <w:r w:rsidRPr="0017105E">
        <w:rPr>
          <w:rFonts w:ascii="Gill Sans MT" w:hAnsi="Gill Sans MT"/>
        </w:rPr>
        <w:t xml:space="preserve"> be united behind a well-defined single emotional proposition</w:t>
      </w:r>
      <w:r>
        <w:rPr>
          <w:rFonts w:ascii="Gill Sans MT" w:hAnsi="Gill Sans MT"/>
        </w:rPr>
        <w:t xml:space="preserve"> (the case for support for OSS)</w:t>
      </w:r>
      <w:r w:rsidRPr="0017105E">
        <w:rPr>
          <w:rFonts w:ascii="Gill Sans MT" w:hAnsi="Gill Sans MT"/>
        </w:rPr>
        <w:t xml:space="preserve"> that </w:t>
      </w:r>
      <w:r>
        <w:rPr>
          <w:rFonts w:ascii="Gill Sans MT" w:hAnsi="Gill Sans MT"/>
        </w:rPr>
        <w:t>connects with the powerful and emotive vision and mission that OSS has developed</w:t>
      </w:r>
      <w:r w:rsidRPr="0017105E">
        <w:rPr>
          <w:rFonts w:ascii="Gill Sans MT" w:hAnsi="Gill Sans MT"/>
        </w:rPr>
        <w:t>.</w:t>
      </w:r>
    </w:p>
    <w:p w:rsidR="00B20AB0" w:rsidRDefault="005A0701" w:rsidP="007262BB">
      <w:pPr>
        <w:pStyle w:val="ListParagraph"/>
        <w:numPr>
          <w:ilvl w:val="0"/>
          <w:numId w:val="11"/>
        </w:numPr>
        <w:spacing w:after="0" w:line="240" w:lineRule="auto"/>
        <w:rPr>
          <w:rFonts w:ascii="Gill Sans MT" w:hAnsi="Gill Sans MT"/>
        </w:rPr>
      </w:pPr>
      <w:r w:rsidRPr="00B20AB0">
        <w:rPr>
          <w:rFonts w:ascii="Gill Sans MT" w:hAnsi="Gill Sans MT"/>
          <w:b/>
        </w:rPr>
        <w:t xml:space="preserve">Investment </w:t>
      </w:r>
      <w:r w:rsidRPr="00B20AB0">
        <w:rPr>
          <w:rFonts w:ascii="Gill Sans MT" w:hAnsi="Gill Sans MT"/>
        </w:rPr>
        <w:t xml:space="preserve">- Raising money costs money. Investing in fundraising is demonstrably more effective than almost any other kind of investment. OSS </w:t>
      </w:r>
      <w:r w:rsidR="00B20AB0" w:rsidRPr="00B20AB0">
        <w:rPr>
          <w:rFonts w:ascii="Gill Sans MT" w:hAnsi="Gill Sans MT"/>
        </w:rPr>
        <w:t>is investing</w:t>
      </w:r>
      <w:r w:rsidRPr="00B20AB0">
        <w:rPr>
          <w:rFonts w:ascii="Gill Sans MT" w:hAnsi="Gill Sans MT"/>
        </w:rPr>
        <w:t xml:space="preserve"> in </w:t>
      </w:r>
      <w:r w:rsidR="00B20AB0" w:rsidRPr="00B20AB0">
        <w:rPr>
          <w:rFonts w:ascii="Gill Sans MT" w:hAnsi="Gill Sans MT"/>
        </w:rPr>
        <w:t xml:space="preserve">its </w:t>
      </w:r>
      <w:r w:rsidRPr="00B20AB0">
        <w:rPr>
          <w:rFonts w:ascii="Gill Sans MT" w:hAnsi="Gill Sans MT"/>
        </w:rPr>
        <w:t>fundraising</w:t>
      </w:r>
      <w:r w:rsidR="00B20AB0" w:rsidRPr="00B20AB0">
        <w:rPr>
          <w:rFonts w:ascii="Gill Sans MT" w:hAnsi="Gill Sans MT"/>
        </w:rPr>
        <w:t>, both with systems and staff,</w:t>
      </w:r>
      <w:r w:rsidRPr="00B20AB0">
        <w:rPr>
          <w:rFonts w:ascii="Gill Sans MT" w:hAnsi="Gill Sans MT"/>
        </w:rPr>
        <w:t xml:space="preserve"> to build its committed donor base.</w:t>
      </w:r>
    </w:p>
    <w:p w:rsidR="005A0701" w:rsidRPr="00B20AB0" w:rsidRDefault="005A0701" w:rsidP="007262BB">
      <w:pPr>
        <w:pStyle w:val="ListParagraph"/>
        <w:numPr>
          <w:ilvl w:val="0"/>
          <w:numId w:val="11"/>
        </w:numPr>
        <w:spacing w:after="0" w:line="240" w:lineRule="auto"/>
        <w:rPr>
          <w:rFonts w:ascii="Gill Sans MT" w:hAnsi="Gill Sans MT"/>
        </w:rPr>
      </w:pPr>
      <w:r w:rsidRPr="00B20AB0">
        <w:rPr>
          <w:rFonts w:ascii="Gill Sans MT" w:hAnsi="Gill Sans MT"/>
          <w:b/>
        </w:rPr>
        <w:t xml:space="preserve">Donors </w:t>
      </w:r>
      <w:r w:rsidRPr="00B20AB0">
        <w:rPr>
          <w:rFonts w:ascii="Gill Sans MT" w:hAnsi="Gill Sans MT"/>
        </w:rPr>
        <w:t>- The donors to OSS are vital to the delivery of the mission and vision and everyone in the organisation should understand this and understand their roles in a strong stewardship plan, creating and sustaining mutually beneficial relationships with current and prospective donors.</w:t>
      </w:r>
    </w:p>
    <w:p w:rsidR="005A0701" w:rsidRPr="0017105E" w:rsidRDefault="005A0701" w:rsidP="005A0701">
      <w:pPr>
        <w:pStyle w:val="ListParagraph"/>
        <w:numPr>
          <w:ilvl w:val="0"/>
          <w:numId w:val="11"/>
        </w:numPr>
        <w:spacing w:after="0" w:line="240" w:lineRule="auto"/>
        <w:rPr>
          <w:rFonts w:ascii="Gill Sans MT" w:hAnsi="Gill Sans MT"/>
        </w:rPr>
      </w:pPr>
      <w:r w:rsidRPr="0017105E">
        <w:rPr>
          <w:rFonts w:ascii="Gill Sans MT" w:hAnsi="Gill Sans MT"/>
          <w:b/>
        </w:rPr>
        <w:t xml:space="preserve">Communication </w:t>
      </w:r>
      <w:r w:rsidR="00B20AB0">
        <w:rPr>
          <w:rFonts w:ascii="Gill Sans MT" w:hAnsi="Gill Sans MT"/>
        </w:rPr>
        <w:t>–</w:t>
      </w:r>
      <w:r w:rsidRPr="0017105E">
        <w:rPr>
          <w:rFonts w:ascii="Gill Sans MT" w:hAnsi="Gill Sans MT"/>
        </w:rPr>
        <w:t xml:space="preserve"> </w:t>
      </w:r>
      <w:r w:rsidR="00B20AB0">
        <w:rPr>
          <w:rFonts w:ascii="Gill Sans MT" w:hAnsi="Gill Sans MT"/>
        </w:rPr>
        <w:t>Effective and consistent</w:t>
      </w:r>
      <w:r w:rsidRPr="0017105E">
        <w:rPr>
          <w:rFonts w:ascii="Gill Sans MT" w:hAnsi="Gill Sans MT"/>
        </w:rPr>
        <w:t xml:space="preserve"> communication </w:t>
      </w:r>
      <w:r w:rsidR="00B20AB0">
        <w:rPr>
          <w:rFonts w:ascii="Gill Sans MT" w:hAnsi="Gill Sans MT"/>
        </w:rPr>
        <w:t>is key to driving action and results</w:t>
      </w:r>
      <w:r w:rsidRPr="0017105E">
        <w:rPr>
          <w:rFonts w:ascii="Gill Sans MT" w:hAnsi="Gill Sans MT"/>
        </w:rPr>
        <w:t xml:space="preserve">. </w:t>
      </w:r>
      <w:r w:rsidR="00B20AB0">
        <w:rPr>
          <w:rFonts w:ascii="Gill Sans MT" w:hAnsi="Gill Sans MT"/>
        </w:rPr>
        <w:t>It is vital that no significant steps towards prospective donors are made without the knowledge and agreement of the Director, and, as far as is possible, all communication is shared with all members of the Fundraising Committee to ensure all are up-to-speed. Other than when special relationships offer greater potential of success, communication will be handled by the Director and Programme Officer.</w:t>
      </w:r>
    </w:p>
    <w:p w:rsidR="005A0701" w:rsidRPr="0017105E" w:rsidRDefault="005A0701" w:rsidP="005A0701">
      <w:pPr>
        <w:pStyle w:val="ListParagraph"/>
        <w:numPr>
          <w:ilvl w:val="0"/>
          <w:numId w:val="11"/>
        </w:numPr>
        <w:spacing w:after="0" w:line="240" w:lineRule="auto"/>
        <w:rPr>
          <w:rFonts w:ascii="Gill Sans MT" w:hAnsi="Gill Sans MT"/>
        </w:rPr>
      </w:pPr>
      <w:r w:rsidRPr="0017105E">
        <w:rPr>
          <w:rFonts w:ascii="Gill Sans MT" w:hAnsi="Gill Sans MT"/>
          <w:b/>
        </w:rPr>
        <w:t xml:space="preserve">Inspiration and Motivation </w:t>
      </w:r>
      <w:r w:rsidRPr="0017105E">
        <w:rPr>
          <w:rFonts w:ascii="Gill Sans MT" w:hAnsi="Gill Sans MT"/>
        </w:rPr>
        <w:t>- Motivated, inspired and proud fundraisers raise more money</w:t>
      </w:r>
      <w:r w:rsidR="00B20AB0">
        <w:rPr>
          <w:rFonts w:ascii="Gill Sans MT" w:hAnsi="Gill Sans MT"/>
        </w:rPr>
        <w:t xml:space="preserve"> and so it is vital that all Fundraising Committee members share progress and praise, and seek to learn from but also support each other through inevitable failures.</w:t>
      </w:r>
    </w:p>
    <w:p w:rsidR="005A0701" w:rsidRDefault="005A0701" w:rsidP="005A0701">
      <w:pPr>
        <w:pStyle w:val="ListParagraph"/>
        <w:numPr>
          <w:ilvl w:val="0"/>
          <w:numId w:val="11"/>
        </w:numPr>
        <w:spacing w:after="0" w:line="240" w:lineRule="auto"/>
        <w:rPr>
          <w:rFonts w:ascii="Gill Sans MT" w:hAnsi="Gill Sans MT"/>
        </w:rPr>
      </w:pPr>
      <w:r w:rsidRPr="0017105E">
        <w:rPr>
          <w:rFonts w:ascii="Gill Sans MT" w:hAnsi="Gill Sans MT"/>
          <w:b/>
        </w:rPr>
        <w:t>Telling the Wor</w:t>
      </w:r>
      <w:r>
        <w:rPr>
          <w:rFonts w:ascii="Gill Sans MT" w:hAnsi="Gill Sans MT"/>
          <w:b/>
        </w:rPr>
        <w:t>l</w:t>
      </w:r>
      <w:r w:rsidRPr="0017105E">
        <w:rPr>
          <w:rFonts w:ascii="Gill Sans MT" w:hAnsi="Gill Sans MT"/>
          <w:b/>
        </w:rPr>
        <w:t xml:space="preserve">d </w:t>
      </w:r>
      <w:r>
        <w:rPr>
          <w:rFonts w:ascii="Gill Sans MT" w:hAnsi="Gill Sans MT"/>
        </w:rPr>
        <w:t>–</w:t>
      </w:r>
      <w:r w:rsidRPr="0017105E">
        <w:rPr>
          <w:rFonts w:ascii="Gill Sans MT" w:hAnsi="Gill Sans MT"/>
        </w:rPr>
        <w:t xml:space="preserve"> </w:t>
      </w:r>
      <w:r>
        <w:rPr>
          <w:rFonts w:ascii="Gill Sans MT" w:hAnsi="Gill Sans MT"/>
        </w:rPr>
        <w:t xml:space="preserve">OSS have been active in </w:t>
      </w:r>
      <w:r w:rsidRPr="0017105E">
        <w:rPr>
          <w:rFonts w:ascii="Gill Sans MT" w:hAnsi="Gill Sans MT"/>
        </w:rPr>
        <w:t>present</w:t>
      </w:r>
      <w:r>
        <w:rPr>
          <w:rFonts w:ascii="Gill Sans MT" w:hAnsi="Gill Sans MT"/>
        </w:rPr>
        <w:t>ing</w:t>
      </w:r>
      <w:r w:rsidRPr="0017105E">
        <w:rPr>
          <w:rFonts w:ascii="Gill Sans MT" w:hAnsi="Gill Sans MT"/>
        </w:rPr>
        <w:t xml:space="preserve"> their case to external audiences. </w:t>
      </w:r>
      <w:r w:rsidR="00B20AB0">
        <w:rPr>
          <w:rFonts w:ascii="Gill Sans MT" w:hAnsi="Gill Sans MT"/>
        </w:rPr>
        <w:t>We will</w:t>
      </w:r>
      <w:r>
        <w:rPr>
          <w:rFonts w:ascii="Gill Sans MT" w:hAnsi="Gill Sans MT"/>
        </w:rPr>
        <w:t xml:space="preserve"> continue to do this with clarity, passion and conviction</w:t>
      </w:r>
      <w:r w:rsidR="00B20AB0">
        <w:rPr>
          <w:rFonts w:ascii="Gill Sans MT" w:hAnsi="Gill Sans MT"/>
        </w:rPr>
        <w:t xml:space="preserve"> in order to communicate success and growth</w:t>
      </w:r>
      <w:r>
        <w:rPr>
          <w:rFonts w:ascii="Gill Sans MT" w:hAnsi="Gill Sans MT"/>
        </w:rPr>
        <w:t>. It is vital for fundraising success that OSS speaks with a single voice to prospective donors</w:t>
      </w:r>
      <w:r w:rsidR="00B20AB0">
        <w:rPr>
          <w:rFonts w:ascii="Gill Sans MT" w:hAnsi="Gill Sans MT"/>
        </w:rPr>
        <w:t>, and all members refer to the Case for Support prior to engagement.</w:t>
      </w:r>
    </w:p>
    <w:p w:rsidR="00656EC0" w:rsidRDefault="00656EC0" w:rsidP="005A0701">
      <w:pPr>
        <w:rPr>
          <w:rFonts w:ascii="Gill Sans MT" w:hAnsi="Gill Sans MT"/>
        </w:rPr>
      </w:pPr>
    </w:p>
    <w:p w:rsidR="005A0701" w:rsidRPr="00997E22" w:rsidRDefault="005A0701" w:rsidP="005A0701">
      <w:pPr>
        <w:spacing w:after="0" w:line="240" w:lineRule="auto"/>
        <w:rPr>
          <w:rFonts w:ascii="Gill Sans MT" w:hAnsi="Gill Sans MT"/>
        </w:rPr>
      </w:pPr>
      <w:bookmarkStart w:id="4" w:name="_Toc41610206"/>
      <w:r w:rsidRPr="00FA16DB">
        <w:rPr>
          <w:rStyle w:val="Heading2Char"/>
          <w:rFonts w:ascii="Gill Sans MT" w:hAnsi="Gill Sans MT"/>
          <w:b/>
          <w:sz w:val="24"/>
          <w:szCs w:val="24"/>
        </w:rPr>
        <w:t>Individual Giving Strategy</w:t>
      </w:r>
      <w:bookmarkEnd w:id="4"/>
      <w:r w:rsidRPr="0017105E">
        <w:rPr>
          <w:rFonts w:ascii="Gill Sans MT" w:hAnsi="Gill Sans MT"/>
          <w:b/>
        </w:rPr>
        <w:cr/>
        <w:t xml:space="preserve">  </w:t>
      </w:r>
      <w:r w:rsidRPr="0017105E">
        <w:rPr>
          <w:rFonts w:ascii="Gill Sans MT" w:hAnsi="Gill Sans MT"/>
          <w:b/>
        </w:rPr>
        <w:tab/>
      </w:r>
      <w:r w:rsidRPr="0017105E">
        <w:rPr>
          <w:rFonts w:ascii="Gill Sans MT" w:hAnsi="Gill Sans MT"/>
          <w:b/>
        </w:rPr>
        <w:cr/>
      </w:r>
      <w:r>
        <w:rPr>
          <w:rFonts w:ascii="Gill Sans MT" w:hAnsi="Gill Sans MT"/>
        </w:rPr>
        <w:t>There has been significant work undertaken around individual giving, stewardship and development of a Founder Funders membership scheme by OSS since i</w:t>
      </w:r>
      <w:r w:rsidR="00656EC0">
        <w:rPr>
          <w:rFonts w:ascii="Gill Sans MT" w:hAnsi="Gill Sans MT"/>
        </w:rPr>
        <w:t>ts inception</w:t>
      </w:r>
      <w:r>
        <w:rPr>
          <w:rFonts w:ascii="Gill Sans MT" w:hAnsi="Gill Sans MT"/>
        </w:rPr>
        <w:t>. This strategy seeks to evolve from this effort and provide a more structured approach moving forward.</w:t>
      </w:r>
    </w:p>
    <w:p w:rsidR="005A0701" w:rsidRDefault="005A0701" w:rsidP="005A0701">
      <w:pPr>
        <w:spacing w:after="0" w:line="240" w:lineRule="auto"/>
        <w:rPr>
          <w:rFonts w:ascii="Gill Sans MT" w:hAnsi="Gill Sans MT"/>
          <w:b/>
        </w:rPr>
      </w:pPr>
    </w:p>
    <w:p w:rsidR="005A0701" w:rsidRPr="009F22BE" w:rsidRDefault="005A0701" w:rsidP="005A0701">
      <w:pPr>
        <w:spacing w:after="0" w:line="240" w:lineRule="auto"/>
        <w:rPr>
          <w:rFonts w:ascii="Gill Sans MT" w:hAnsi="Gill Sans MT"/>
        </w:rPr>
      </w:pPr>
      <w:r>
        <w:rPr>
          <w:rFonts w:ascii="Gill Sans MT" w:hAnsi="Gill Sans MT"/>
        </w:rPr>
        <w:t>The Unique Selling Proposition (USP) of OSS, as the only research institute of its kind in Scotland providing high quality, independent research on sport in Scotland, should resonate strongly with individual giving constituencies, extenuated by the focus on developing community sport and recreation for all ages and abilities, as opposed to a focus on elite sport participation.</w:t>
      </w:r>
    </w:p>
    <w:p w:rsidR="005A0701" w:rsidRDefault="005A0701" w:rsidP="005A0701">
      <w:pPr>
        <w:spacing w:after="0" w:line="240" w:lineRule="auto"/>
        <w:rPr>
          <w:rFonts w:ascii="Gill Sans MT" w:hAnsi="Gill Sans MT"/>
          <w:b/>
        </w:rPr>
      </w:pPr>
    </w:p>
    <w:p w:rsidR="005A0701" w:rsidRDefault="005A0701" w:rsidP="005A0701">
      <w:pPr>
        <w:spacing w:after="0" w:line="240" w:lineRule="auto"/>
        <w:rPr>
          <w:rFonts w:ascii="Gill Sans MT" w:hAnsi="Gill Sans MT"/>
        </w:rPr>
      </w:pPr>
      <w:r w:rsidRPr="0017105E">
        <w:rPr>
          <w:rFonts w:ascii="Gill Sans MT" w:hAnsi="Gill Sans MT"/>
        </w:rPr>
        <w:t xml:space="preserve">Individual donors can support </w:t>
      </w:r>
      <w:r>
        <w:rPr>
          <w:rFonts w:ascii="Gill Sans MT" w:hAnsi="Gill Sans MT"/>
        </w:rPr>
        <w:t xml:space="preserve">OSS </w:t>
      </w:r>
      <w:r w:rsidRPr="0017105E">
        <w:rPr>
          <w:rFonts w:ascii="Gill Sans MT" w:hAnsi="Gill Sans MT"/>
        </w:rPr>
        <w:t>in many ways, whether by responding to an appeal, through regular giving, by making a major gift or leaving a legacy. It is an area of fundraising that is changing rapidly, with traditional donors reducing in number and younger generations interacting differently with the causes they support. New opportunities are arising, including tribute funds, online fundraising, social media viral campaigns, crowdfunding and email appeals taking their place alongside more traditional methods</w:t>
      </w:r>
      <w:r>
        <w:rPr>
          <w:rFonts w:ascii="Gill Sans MT" w:hAnsi="Gill Sans MT"/>
        </w:rPr>
        <w:t>.</w:t>
      </w:r>
    </w:p>
    <w:p w:rsidR="00656EC0" w:rsidRPr="0017105E" w:rsidRDefault="00656EC0" w:rsidP="005A0701">
      <w:pPr>
        <w:spacing w:after="0" w:line="240" w:lineRule="auto"/>
        <w:rPr>
          <w:rFonts w:ascii="Gill Sans MT" w:hAnsi="Gill Sans MT"/>
        </w:rPr>
      </w:pPr>
    </w:p>
    <w:p w:rsidR="005A0701" w:rsidRPr="0017105E" w:rsidRDefault="00656EC0" w:rsidP="005A0701">
      <w:pPr>
        <w:spacing w:after="0" w:line="240" w:lineRule="auto"/>
        <w:rPr>
          <w:rFonts w:ascii="Gill Sans MT" w:hAnsi="Gill Sans MT"/>
        </w:rPr>
      </w:pPr>
      <w:r>
        <w:rPr>
          <w:rFonts w:ascii="Gill Sans MT" w:hAnsi="Gill Sans MT"/>
        </w:rPr>
        <w:t xml:space="preserve">However, </w:t>
      </w:r>
      <w:r w:rsidR="005A0701" w:rsidRPr="0017105E">
        <w:rPr>
          <w:rFonts w:ascii="Gill Sans MT" w:hAnsi="Gill Sans MT"/>
        </w:rPr>
        <w:t xml:space="preserve">Institute of Fundraising research </w:t>
      </w:r>
      <w:r>
        <w:rPr>
          <w:rFonts w:ascii="Gill Sans MT" w:hAnsi="Gill Sans MT"/>
        </w:rPr>
        <w:t>revealed that</w:t>
      </w:r>
      <w:r w:rsidR="005A0701" w:rsidRPr="0017105E">
        <w:rPr>
          <w:rFonts w:ascii="Gill Sans MT" w:hAnsi="Gill Sans MT"/>
        </w:rPr>
        <w:t xml:space="preserve"> charities rais</w:t>
      </w:r>
      <w:r>
        <w:rPr>
          <w:rFonts w:ascii="Gill Sans MT" w:hAnsi="Gill Sans MT"/>
        </w:rPr>
        <w:t>e</w:t>
      </w:r>
      <w:r w:rsidR="005A0701" w:rsidRPr="0017105E">
        <w:rPr>
          <w:rFonts w:ascii="Gill Sans MT" w:hAnsi="Gill Sans MT"/>
        </w:rPr>
        <w:t xml:space="preserve"> £6.44 per £1 invested in membership/committed giving</w:t>
      </w:r>
      <w:r w:rsidR="00D83075">
        <w:rPr>
          <w:rFonts w:ascii="Gill Sans MT" w:hAnsi="Gill Sans MT"/>
        </w:rPr>
        <w:t xml:space="preserve"> and </w:t>
      </w:r>
      <w:r w:rsidR="005A0701" w:rsidRPr="0017105E">
        <w:rPr>
          <w:rFonts w:ascii="Gill Sans MT" w:hAnsi="Gill Sans MT"/>
        </w:rPr>
        <w:t>committed individual giving is second only to Trusts in terms of financial yield.</w:t>
      </w:r>
      <w:r>
        <w:rPr>
          <w:rFonts w:ascii="Gill Sans MT" w:hAnsi="Gill Sans MT"/>
        </w:rPr>
        <w:t xml:space="preserve"> </w:t>
      </w:r>
      <w:r w:rsidR="00D83075">
        <w:rPr>
          <w:rFonts w:ascii="Gill Sans MT" w:hAnsi="Gill Sans MT"/>
        </w:rPr>
        <w:t>The</w:t>
      </w:r>
      <w:r w:rsidR="005A0701" w:rsidRPr="0017105E">
        <w:rPr>
          <w:rFonts w:ascii="Gill Sans MT" w:hAnsi="Gill Sans MT"/>
        </w:rPr>
        <w:t xml:space="preserve"> Individual Giving Strategy is inextricably linked to </w:t>
      </w:r>
      <w:r w:rsidR="00D83075">
        <w:rPr>
          <w:rFonts w:ascii="Gill Sans MT" w:hAnsi="Gill Sans MT"/>
        </w:rPr>
        <w:t>the</w:t>
      </w:r>
      <w:r w:rsidR="005A0701" w:rsidRPr="0017105E">
        <w:rPr>
          <w:rFonts w:ascii="Gill Sans MT" w:hAnsi="Gill Sans MT"/>
        </w:rPr>
        <w:t xml:space="preserve"> Major Donor Strategy, </w:t>
      </w:r>
      <w:r>
        <w:rPr>
          <w:rFonts w:ascii="Gill Sans MT" w:hAnsi="Gill Sans MT"/>
        </w:rPr>
        <w:t xml:space="preserve">with </w:t>
      </w:r>
      <w:r w:rsidR="005A0701" w:rsidRPr="0017105E">
        <w:rPr>
          <w:rFonts w:ascii="Gill Sans MT" w:hAnsi="Gill Sans MT"/>
        </w:rPr>
        <w:t xml:space="preserve">the combined aims of both for </w:t>
      </w:r>
      <w:r w:rsidR="005A0701">
        <w:rPr>
          <w:rFonts w:ascii="Gill Sans MT" w:hAnsi="Gill Sans MT"/>
        </w:rPr>
        <w:t>OSS</w:t>
      </w:r>
      <w:r w:rsidR="005A0701" w:rsidRPr="0017105E">
        <w:rPr>
          <w:rFonts w:ascii="Gill Sans MT" w:hAnsi="Gill Sans MT"/>
        </w:rPr>
        <w:t xml:space="preserve"> </w:t>
      </w:r>
      <w:r w:rsidR="005A0701">
        <w:rPr>
          <w:rFonts w:ascii="Gill Sans MT" w:hAnsi="Gill Sans MT"/>
        </w:rPr>
        <w:t>being</w:t>
      </w:r>
      <w:r w:rsidR="005A0701" w:rsidRPr="0017105E">
        <w:rPr>
          <w:rFonts w:ascii="Gill Sans MT" w:hAnsi="Gill Sans MT"/>
        </w:rPr>
        <w:t xml:space="preserve"> to:</w:t>
      </w:r>
    </w:p>
    <w:p w:rsidR="005A0701" w:rsidRPr="0017105E" w:rsidRDefault="005A0701" w:rsidP="005A0701">
      <w:pPr>
        <w:pStyle w:val="ListParagraph"/>
        <w:numPr>
          <w:ilvl w:val="0"/>
          <w:numId w:val="8"/>
        </w:numPr>
        <w:spacing w:after="0" w:line="240" w:lineRule="auto"/>
        <w:rPr>
          <w:rFonts w:ascii="Gill Sans MT" w:hAnsi="Gill Sans MT"/>
        </w:rPr>
      </w:pPr>
      <w:r w:rsidRPr="0017105E">
        <w:rPr>
          <w:rFonts w:ascii="Gill Sans MT" w:hAnsi="Gill Sans MT"/>
        </w:rPr>
        <w:t>Identify, research and approach potential major gift donors.</w:t>
      </w:r>
    </w:p>
    <w:p w:rsidR="005A0701" w:rsidRPr="00B12731" w:rsidRDefault="005A0701" w:rsidP="005A0701">
      <w:pPr>
        <w:pStyle w:val="ListParagraph"/>
        <w:numPr>
          <w:ilvl w:val="0"/>
          <w:numId w:val="8"/>
        </w:numPr>
        <w:spacing w:after="0" w:line="240" w:lineRule="auto"/>
        <w:rPr>
          <w:rFonts w:ascii="Gill Sans MT" w:hAnsi="Gill Sans MT"/>
        </w:rPr>
      </w:pPr>
      <w:r w:rsidRPr="00B12731">
        <w:rPr>
          <w:rFonts w:ascii="Gill Sans MT" w:hAnsi="Gill Sans MT"/>
        </w:rPr>
        <w:t xml:space="preserve">Create a wider framework for regular individual giving across all donation levels. </w:t>
      </w:r>
    </w:p>
    <w:p w:rsidR="00D83075" w:rsidRPr="008455F0" w:rsidRDefault="00D83075" w:rsidP="00D83075">
      <w:pPr>
        <w:pStyle w:val="ListParagraph"/>
        <w:spacing w:after="0" w:line="240" w:lineRule="auto"/>
        <w:rPr>
          <w:rFonts w:ascii="Gill Sans MT" w:hAnsi="Gill Sans MT"/>
        </w:rPr>
      </w:pPr>
    </w:p>
    <w:p w:rsidR="00D83075" w:rsidRDefault="00D83075" w:rsidP="005A0701">
      <w:pPr>
        <w:spacing w:after="0" w:line="240" w:lineRule="auto"/>
        <w:rPr>
          <w:rFonts w:ascii="Gill Sans MT" w:hAnsi="Gill Sans MT"/>
        </w:rPr>
      </w:pPr>
      <w:r>
        <w:rPr>
          <w:rFonts w:ascii="Gill Sans MT" w:hAnsi="Gill Sans MT"/>
        </w:rPr>
        <w:t>In 2019, the OSS launched a new Individual Supporters Scheme at the following levels:</w:t>
      </w:r>
    </w:p>
    <w:p w:rsidR="00D83075" w:rsidRPr="00D83075" w:rsidRDefault="00D83075" w:rsidP="00D83075">
      <w:pPr>
        <w:pStyle w:val="ListParagraph"/>
        <w:numPr>
          <w:ilvl w:val="0"/>
          <w:numId w:val="21"/>
        </w:numPr>
        <w:spacing w:after="0" w:line="240" w:lineRule="auto"/>
        <w:rPr>
          <w:rFonts w:ascii="Gill Sans MT" w:hAnsi="Gill Sans MT"/>
        </w:rPr>
      </w:pPr>
      <w:r w:rsidRPr="00D83075">
        <w:rPr>
          <w:rFonts w:ascii="Gill Sans MT" w:hAnsi="Gill Sans MT"/>
        </w:rPr>
        <w:t>Gold</w:t>
      </w:r>
      <w:r>
        <w:rPr>
          <w:rFonts w:ascii="Gill Sans MT" w:hAnsi="Gill Sans MT"/>
        </w:rPr>
        <w:t xml:space="preserve"> – £2000+</w:t>
      </w:r>
    </w:p>
    <w:p w:rsidR="00D83075" w:rsidRDefault="00D83075" w:rsidP="00D83075">
      <w:pPr>
        <w:pStyle w:val="ListParagraph"/>
        <w:numPr>
          <w:ilvl w:val="0"/>
          <w:numId w:val="21"/>
        </w:numPr>
        <w:spacing w:after="0" w:line="240" w:lineRule="auto"/>
        <w:rPr>
          <w:rFonts w:ascii="Gill Sans MT" w:hAnsi="Gill Sans MT"/>
        </w:rPr>
      </w:pPr>
      <w:r w:rsidRPr="00D83075">
        <w:rPr>
          <w:rFonts w:ascii="Gill Sans MT" w:hAnsi="Gill Sans MT"/>
        </w:rPr>
        <w:t xml:space="preserve">Silver </w:t>
      </w:r>
      <w:r>
        <w:rPr>
          <w:rFonts w:ascii="Gill Sans MT" w:hAnsi="Gill Sans MT"/>
        </w:rPr>
        <w:t>- £500-£</w:t>
      </w:r>
      <w:r w:rsidR="00656EC0">
        <w:rPr>
          <w:rFonts w:ascii="Gill Sans MT" w:hAnsi="Gill Sans MT"/>
        </w:rPr>
        <w:t>19</w:t>
      </w:r>
      <w:r>
        <w:rPr>
          <w:rFonts w:ascii="Gill Sans MT" w:hAnsi="Gill Sans MT"/>
        </w:rPr>
        <w:t>99</w:t>
      </w:r>
    </w:p>
    <w:p w:rsidR="00D83075" w:rsidRDefault="00D83075" w:rsidP="00D83075">
      <w:pPr>
        <w:pStyle w:val="ListParagraph"/>
        <w:numPr>
          <w:ilvl w:val="0"/>
          <w:numId w:val="21"/>
        </w:numPr>
        <w:spacing w:after="0" w:line="240" w:lineRule="auto"/>
        <w:rPr>
          <w:rFonts w:ascii="Gill Sans MT" w:hAnsi="Gill Sans MT"/>
        </w:rPr>
      </w:pPr>
      <w:r w:rsidRPr="00D83075">
        <w:rPr>
          <w:rFonts w:ascii="Gill Sans MT" w:hAnsi="Gill Sans MT"/>
        </w:rPr>
        <w:t xml:space="preserve">Bronze </w:t>
      </w:r>
      <w:r>
        <w:rPr>
          <w:rFonts w:ascii="Gill Sans MT" w:hAnsi="Gill Sans MT"/>
        </w:rPr>
        <w:t>- £</w:t>
      </w:r>
      <w:r w:rsidR="00656EC0">
        <w:rPr>
          <w:rFonts w:ascii="Gill Sans MT" w:hAnsi="Gill Sans MT"/>
        </w:rPr>
        <w:t>1</w:t>
      </w:r>
      <w:r>
        <w:rPr>
          <w:rFonts w:ascii="Gill Sans MT" w:hAnsi="Gill Sans MT"/>
        </w:rPr>
        <w:t>00-£499</w:t>
      </w:r>
    </w:p>
    <w:p w:rsidR="00D83075" w:rsidRDefault="00D83075" w:rsidP="00D83075">
      <w:pPr>
        <w:spacing w:after="0" w:line="240" w:lineRule="auto"/>
        <w:rPr>
          <w:rFonts w:ascii="Gill Sans MT" w:hAnsi="Gill Sans MT"/>
        </w:rPr>
      </w:pPr>
    </w:p>
    <w:p w:rsidR="00D83075" w:rsidRDefault="00656EC0" w:rsidP="005A0701">
      <w:pPr>
        <w:spacing w:after="0" w:line="240" w:lineRule="auto"/>
        <w:rPr>
          <w:rFonts w:ascii="Gill Sans MT" w:hAnsi="Gill Sans MT"/>
        </w:rPr>
      </w:pPr>
      <w:r>
        <w:rPr>
          <w:rFonts w:ascii="Gill Sans MT" w:hAnsi="Gill Sans MT"/>
        </w:rPr>
        <w:t>Donors</w:t>
      </w:r>
      <w:r w:rsidR="00D83075">
        <w:rPr>
          <w:rFonts w:ascii="Gill Sans MT" w:hAnsi="Gill Sans MT"/>
        </w:rPr>
        <w:t xml:space="preserve"> </w:t>
      </w:r>
      <w:r w:rsidR="00D83075" w:rsidRPr="00D83075">
        <w:rPr>
          <w:rFonts w:ascii="Gill Sans MT" w:hAnsi="Gill Sans MT"/>
        </w:rPr>
        <w:t>receive a range of benefits, including website mention, research information, invitations to events</w:t>
      </w:r>
      <w:r w:rsidR="00D83075">
        <w:rPr>
          <w:rFonts w:ascii="Gill Sans MT" w:hAnsi="Gill Sans MT"/>
        </w:rPr>
        <w:t>, private briefings</w:t>
      </w:r>
      <w:r w:rsidR="00D83075" w:rsidRPr="00D83075">
        <w:rPr>
          <w:rFonts w:ascii="Gill Sans MT" w:hAnsi="Gill Sans MT"/>
        </w:rPr>
        <w:t xml:space="preserve"> and regular communication</w:t>
      </w:r>
      <w:r w:rsidR="00D83075">
        <w:rPr>
          <w:rFonts w:ascii="Gill Sans MT" w:hAnsi="Gill Sans MT"/>
        </w:rPr>
        <w:t xml:space="preserve">. A target for 2020 is a stronger communications approach to market these levels </w:t>
      </w:r>
      <w:r>
        <w:rPr>
          <w:rFonts w:ascii="Gill Sans MT" w:hAnsi="Gill Sans MT"/>
        </w:rPr>
        <w:t xml:space="preserve">to the database members, and </w:t>
      </w:r>
      <w:r w:rsidR="00D83075">
        <w:rPr>
          <w:rFonts w:ascii="Gill Sans MT" w:hAnsi="Gill Sans MT"/>
        </w:rPr>
        <w:t>on the website and social media.</w:t>
      </w:r>
    </w:p>
    <w:p w:rsidR="00D83075" w:rsidRDefault="00D83075" w:rsidP="005A0701">
      <w:pPr>
        <w:spacing w:after="0" w:line="240" w:lineRule="auto"/>
        <w:rPr>
          <w:rFonts w:ascii="Gill Sans MT" w:hAnsi="Gill Sans MT"/>
        </w:rPr>
      </w:pPr>
    </w:p>
    <w:p w:rsidR="00034511" w:rsidRPr="0017105E" w:rsidRDefault="005A0701" w:rsidP="005A0701">
      <w:pPr>
        <w:spacing w:after="0" w:line="240" w:lineRule="auto"/>
        <w:rPr>
          <w:rFonts w:ascii="Gill Sans MT" w:hAnsi="Gill Sans MT"/>
        </w:rPr>
      </w:pPr>
      <w:r>
        <w:rPr>
          <w:rFonts w:ascii="Gill Sans MT" w:hAnsi="Gill Sans MT"/>
        </w:rPr>
        <w:t>Having increased OSS contacts to over 1,</w:t>
      </w:r>
      <w:r w:rsidR="008455F0">
        <w:rPr>
          <w:rFonts w:ascii="Gill Sans MT" w:hAnsi="Gill Sans MT"/>
        </w:rPr>
        <w:t>0</w:t>
      </w:r>
      <w:r>
        <w:rPr>
          <w:rFonts w:ascii="Gill Sans MT" w:hAnsi="Gill Sans MT"/>
        </w:rPr>
        <w:t xml:space="preserve">00, and installed a new Customer Relationship Management </w:t>
      </w:r>
      <w:r w:rsidR="008455F0">
        <w:rPr>
          <w:rFonts w:ascii="Gill Sans MT" w:hAnsi="Gill Sans MT"/>
        </w:rPr>
        <w:t xml:space="preserve">(CRM) </w:t>
      </w:r>
      <w:r>
        <w:rPr>
          <w:rFonts w:ascii="Gill Sans MT" w:hAnsi="Gill Sans MT"/>
        </w:rPr>
        <w:t>system, in May 2020, i</w:t>
      </w:r>
      <w:r w:rsidRPr="0017105E">
        <w:rPr>
          <w:rFonts w:ascii="Gill Sans MT" w:hAnsi="Gill Sans MT"/>
        </w:rPr>
        <w:t xml:space="preserve">nterrogating </w:t>
      </w:r>
      <w:r>
        <w:rPr>
          <w:rFonts w:ascii="Gill Sans MT" w:hAnsi="Gill Sans MT"/>
        </w:rPr>
        <w:t xml:space="preserve">the database list </w:t>
      </w:r>
      <w:r w:rsidRPr="0017105E">
        <w:rPr>
          <w:rFonts w:ascii="Gill Sans MT" w:hAnsi="Gill Sans MT"/>
        </w:rPr>
        <w:t xml:space="preserve">considering the above is a critical exercise for </w:t>
      </w:r>
      <w:r>
        <w:rPr>
          <w:rFonts w:ascii="Gill Sans MT" w:hAnsi="Gill Sans MT"/>
        </w:rPr>
        <w:t xml:space="preserve">OSS. </w:t>
      </w:r>
      <w:r w:rsidRPr="0017105E">
        <w:rPr>
          <w:rFonts w:ascii="Gill Sans MT" w:hAnsi="Gill Sans MT"/>
        </w:rPr>
        <w:t xml:space="preserve">This will enable </w:t>
      </w:r>
      <w:r>
        <w:rPr>
          <w:rFonts w:ascii="Gill Sans MT" w:hAnsi="Gill Sans MT"/>
        </w:rPr>
        <w:t>it</w:t>
      </w:r>
      <w:r w:rsidRPr="0017105E">
        <w:rPr>
          <w:rFonts w:ascii="Gill Sans MT" w:hAnsi="Gill Sans MT"/>
        </w:rPr>
        <w:t xml:space="preserve"> to better understand the current, warm audience to the cause</w:t>
      </w:r>
      <w:r>
        <w:rPr>
          <w:rFonts w:ascii="Gill Sans MT" w:hAnsi="Gill Sans MT"/>
        </w:rPr>
        <w:t>, and</w:t>
      </w:r>
      <w:r w:rsidRPr="0017105E">
        <w:rPr>
          <w:rFonts w:ascii="Gill Sans MT" w:hAnsi="Gill Sans MT"/>
        </w:rPr>
        <w:t xml:space="preserve"> help to formulate and position the case for support </w:t>
      </w:r>
      <w:r>
        <w:rPr>
          <w:rFonts w:ascii="Gill Sans MT" w:hAnsi="Gill Sans MT"/>
        </w:rPr>
        <w:t>over the next two years</w:t>
      </w:r>
      <w:r w:rsidRPr="0017105E">
        <w:rPr>
          <w:rFonts w:ascii="Gill Sans MT" w:hAnsi="Gill Sans MT"/>
        </w:rPr>
        <w:t xml:space="preserve">, the fundraising asks for individuals and the type of stewardship required to move donors up a ladder of giving. </w:t>
      </w:r>
      <w:r w:rsidR="00656EC0">
        <w:rPr>
          <w:rFonts w:ascii="Gill Sans MT" w:hAnsi="Gill Sans MT"/>
        </w:rPr>
        <w:t>We hope that this</w:t>
      </w:r>
      <w:r w:rsidRPr="0017105E">
        <w:rPr>
          <w:rFonts w:ascii="Gill Sans MT" w:hAnsi="Gill Sans MT"/>
        </w:rPr>
        <w:t xml:space="preserve"> work</w:t>
      </w:r>
      <w:r>
        <w:rPr>
          <w:rFonts w:ascii="Gill Sans MT" w:hAnsi="Gill Sans MT"/>
        </w:rPr>
        <w:t>,</w:t>
      </w:r>
      <w:r w:rsidRPr="0017105E">
        <w:rPr>
          <w:rFonts w:ascii="Gill Sans MT" w:hAnsi="Gill Sans MT"/>
        </w:rPr>
        <w:t xml:space="preserve"> in turn, will help to inform future donor recruitment, identifying where the gaps are in the donor profile mix and which audiences yield the best individual giving results </w:t>
      </w:r>
      <w:r>
        <w:rPr>
          <w:rFonts w:ascii="Gill Sans MT" w:hAnsi="Gill Sans MT"/>
        </w:rPr>
        <w:t>for OSS.</w:t>
      </w:r>
      <w:r w:rsidR="00656EC0">
        <w:rPr>
          <w:rFonts w:ascii="Gill Sans MT" w:hAnsi="Gill Sans MT"/>
        </w:rPr>
        <w:t xml:space="preserve"> </w:t>
      </w:r>
      <w:r w:rsidRPr="00634C48">
        <w:rPr>
          <w:rFonts w:ascii="Gill Sans MT" w:hAnsi="Gill Sans MT"/>
        </w:rPr>
        <w:t xml:space="preserve">Naming rights </w:t>
      </w:r>
      <w:r>
        <w:rPr>
          <w:rFonts w:ascii="Gill Sans MT" w:hAnsi="Gill Sans MT"/>
        </w:rPr>
        <w:t xml:space="preserve">(such as for specific research or for the National Survey) </w:t>
      </w:r>
      <w:r w:rsidR="00656EC0">
        <w:rPr>
          <w:rFonts w:ascii="Gill Sans MT" w:hAnsi="Gill Sans MT"/>
        </w:rPr>
        <w:t>is</w:t>
      </w:r>
      <w:r>
        <w:rPr>
          <w:rFonts w:ascii="Gill Sans MT" w:hAnsi="Gill Sans MT"/>
        </w:rPr>
        <w:t xml:space="preserve"> also be a consideration</w:t>
      </w:r>
      <w:r w:rsidR="00656EC0">
        <w:rPr>
          <w:rFonts w:ascii="Gill Sans MT" w:hAnsi="Gill Sans MT"/>
        </w:rPr>
        <w:t xml:space="preserve"> for future events.</w:t>
      </w:r>
    </w:p>
    <w:p w:rsidR="005A0701" w:rsidRPr="003D15BF" w:rsidRDefault="005A0701" w:rsidP="005A0701">
      <w:pPr>
        <w:pStyle w:val="Subtitle"/>
        <w:rPr>
          <w:rFonts w:ascii="Gill Sans MT" w:hAnsi="Gill Sans MT"/>
          <w:b/>
          <w:color w:val="2F5496" w:themeColor="accent1" w:themeShade="BF"/>
          <w:sz w:val="24"/>
          <w:szCs w:val="24"/>
        </w:rPr>
      </w:pPr>
      <w:r w:rsidRPr="003D15BF">
        <w:rPr>
          <w:rFonts w:ascii="Gill Sans MT" w:hAnsi="Gill Sans MT"/>
          <w:b/>
          <w:color w:val="2F5496" w:themeColor="accent1" w:themeShade="BF"/>
          <w:sz w:val="24"/>
          <w:szCs w:val="24"/>
        </w:rPr>
        <w:t>In Memoriam</w:t>
      </w:r>
      <w:r>
        <w:rPr>
          <w:rFonts w:ascii="Gill Sans MT" w:hAnsi="Gill Sans MT"/>
          <w:b/>
          <w:color w:val="2F5496" w:themeColor="accent1" w:themeShade="BF"/>
          <w:sz w:val="24"/>
          <w:szCs w:val="24"/>
        </w:rPr>
        <w:t xml:space="preserve">, </w:t>
      </w:r>
      <w:r w:rsidRPr="003D15BF">
        <w:rPr>
          <w:rFonts w:ascii="Gill Sans MT" w:hAnsi="Gill Sans MT"/>
          <w:b/>
          <w:color w:val="2F5496" w:themeColor="accent1" w:themeShade="BF"/>
          <w:sz w:val="24"/>
          <w:szCs w:val="24"/>
        </w:rPr>
        <w:t>Tribute Funds</w:t>
      </w:r>
    </w:p>
    <w:p w:rsidR="005E22B4" w:rsidRDefault="005A0701" w:rsidP="005A0701">
      <w:pPr>
        <w:spacing w:after="0" w:line="240" w:lineRule="auto"/>
        <w:rPr>
          <w:rFonts w:ascii="Gill Sans MT" w:hAnsi="Gill Sans MT"/>
        </w:rPr>
      </w:pPr>
      <w:r>
        <w:rPr>
          <w:rFonts w:ascii="Gill Sans MT" w:hAnsi="Gill Sans MT"/>
        </w:rPr>
        <w:t>Celebration, Tribute and In-Memorial Giving are unlikely to generate significant levels of funding for OSS. Given this, while these activities should look to be developed, they are considered a low priority in 2020-23 with focus centred on more likely sources of funding.</w:t>
      </w:r>
    </w:p>
    <w:p w:rsidR="005E22B4" w:rsidRDefault="005E22B4" w:rsidP="005A0701">
      <w:pPr>
        <w:spacing w:after="0" w:line="240" w:lineRule="auto"/>
        <w:rPr>
          <w:rFonts w:ascii="Gill Sans MT" w:hAnsi="Gill Sans MT"/>
        </w:rPr>
      </w:pPr>
    </w:p>
    <w:p w:rsidR="005E22B4" w:rsidRDefault="005E22B4" w:rsidP="005A0701">
      <w:pPr>
        <w:spacing w:after="0" w:line="240" w:lineRule="auto"/>
        <w:rPr>
          <w:rFonts w:ascii="Gill Sans MT" w:hAnsi="Gill Sans MT"/>
        </w:rPr>
      </w:pPr>
    </w:p>
    <w:p w:rsidR="005E22B4" w:rsidRDefault="005E22B4" w:rsidP="005A0701">
      <w:pPr>
        <w:spacing w:after="0" w:line="240" w:lineRule="auto"/>
        <w:rPr>
          <w:rFonts w:ascii="Gill Sans MT" w:hAnsi="Gill Sans MT"/>
          <w:b/>
          <w:color w:val="2F5496" w:themeColor="accent1" w:themeShade="BF"/>
          <w:sz w:val="24"/>
          <w:szCs w:val="24"/>
        </w:rPr>
      </w:pPr>
      <w:r>
        <w:rPr>
          <w:rFonts w:ascii="Gill Sans MT" w:hAnsi="Gill Sans MT"/>
          <w:b/>
          <w:color w:val="2F5496" w:themeColor="accent1" w:themeShade="BF"/>
          <w:sz w:val="24"/>
          <w:szCs w:val="24"/>
        </w:rPr>
        <w:t>Legacy Giving</w:t>
      </w:r>
    </w:p>
    <w:p w:rsidR="005E22B4" w:rsidRDefault="005E22B4" w:rsidP="005A0701">
      <w:pPr>
        <w:spacing w:after="0" w:line="240" w:lineRule="auto"/>
        <w:rPr>
          <w:rFonts w:ascii="Gill Sans MT" w:hAnsi="Gill Sans MT"/>
        </w:rPr>
      </w:pPr>
    </w:p>
    <w:p w:rsidR="005A0701" w:rsidRDefault="005A0701" w:rsidP="005A0701">
      <w:pPr>
        <w:spacing w:after="0" w:line="240" w:lineRule="auto"/>
        <w:rPr>
          <w:rFonts w:ascii="Gill Sans MT" w:hAnsi="Gill Sans MT"/>
        </w:rPr>
      </w:pPr>
      <w:r w:rsidRPr="0017105E">
        <w:rPr>
          <w:rFonts w:ascii="Gill Sans MT" w:hAnsi="Gill Sans MT"/>
        </w:rPr>
        <w:t>Legacies, or gifts in Wills raise £2bn every year for UK charities</w:t>
      </w:r>
      <w:r>
        <w:rPr>
          <w:rFonts w:ascii="Gill Sans MT" w:hAnsi="Gill Sans MT"/>
        </w:rPr>
        <w:t>, but while l</w:t>
      </w:r>
      <w:r w:rsidRPr="0017105E">
        <w:rPr>
          <w:rFonts w:ascii="Gill Sans MT" w:hAnsi="Gill Sans MT"/>
        </w:rPr>
        <w:t xml:space="preserve">egacy numbers are predicted to rise across the UK, charities predict a fall in value from an average of £19,000 </w:t>
      </w:r>
      <w:r>
        <w:rPr>
          <w:rFonts w:ascii="Gill Sans MT" w:hAnsi="Gill Sans MT"/>
        </w:rPr>
        <w:t>in 2015</w:t>
      </w:r>
      <w:r w:rsidRPr="0017105E">
        <w:rPr>
          <w:rFonts w:ascii="Gill Sans MT" w:hAnsi="Gill Sans MT"/>
        </w:rPr>
        <w:t xml:space="preserve"> to </w:t>
      </w:r>
      <w:r>
        <w:rPr>
          <w:rFonts w:ascii="Gill Sans MT" w:hAnsi="Gill Sans MT"/>
        </w:rPr>
        <w:t>as low as</w:t>
      </w:r>
      <w:r w:rsidRPr="0017105E">
        <w:rPr>
          <w:rFonts w:ascii="Gill Sans MT" w:hAnsi="Gill Sans MT"/>
        </w:rPr>
        <w:t xml:space="preserve"> £1,000 per legacy in </w:t>
      </w:r>
      <w:r>
        <w:rPr>
          <w:rFonts w:ascii="Gill Sans MT" w:hAnsi="Gill Sans MT"/>
        </w:rPr>
        <w:t>2045</w:t>
      </w:r>
      <w:r w:rsidRPr="0017105E">
        <w:rPr>
          <w:rFonts w:ascii="Gill Sans MT" w:hAnsi="Gill Sans MT"/>
        </w:rPr>
        <w:t xml:space="preserve">. </w:t>
      </w:r>
      <w:r w:rsidR="00EE64F6">
        <w:rPr>
          <w:rFonts w:ascii="Gill Sans MT" w:hAnsi="Gill Sans MT"/>
        </w:rPr>
        <w:t>OSS will seek to develop this area of giving, but it is not considered a priority.</w:t>
      </w:r>
    </w:p>
    <w:p w:rsidR="00034511" w:rsidRDefault="00034511" w:rsidP="005A0701">
      <w:pPr>
        <w:spacing w:after="0" w:line="240" w:lineRule="auto"/>
        <w:rPr>
          <w:rFonts w:ascii="Gill Sans MT" w:hAnsi="Gill Sans MT"/>
        </w:rPr>
      </w:pPr>
    </w:p>
    <w:p w:rsidR="005E22B4" w:rsidRDefault="005E22B4" w:rsidP="005A0701">
      <w:pPr>
        <w:spacing w:after="0" w:line="240" w:lineRule="auto"/>
        <w:rPr>
          <w:rFonts w:ascii="Gill Sans MT" w:hAnsi="Gill Sans MT"/>
        </w:rPr>
      </w:pPr>
    </w:p>
    <w:p w:rsidR="005A0701" w:rsidRPr="005E22B4" w:rsidRDefault="005A0701" w:rsidP="005A0701">
      <w:pPr>
        <w:numPr>
          <w:ilvl w:val="1"/>
          <w:numId w:val="0"/>
        </w:numPr>
        <w:rPr>
          <w:rFonts w:ascii="Gill Sans MT" w:eastAsiaTheme="minorEastAsia" w:hAnsi="Gill Sans MT"/>
          <w:b/>
          <w:color w:val="2F5496" w:themeColor="accent1" w:themeShade="BF"/>
          <w:spacing w:val="15"/>
          <w:sz w:val="24"/>
          <w:szCs w:val="24"/>
        </w:rPr>
      </w:pPr>
      <w:r w:rsidRPr="005E22B4">
        <w:rPr>
          <w:rFonts w:ascii="Gill Sans MT" w:eastAsiaTheme="minorEastAsia" w:hAnsi="Gill Sans MT"/>
          <w:b/>
          <w:color w:val="2F5496" w:themeColor="accent1" w:themeShade="BF"/>
          <w:spacing w:val="15"/>
          <w:sz w:val="24"/>
          <w:szCs w:val="24"/>
        </w:rPr>
        <w:t>Crowdfunding</w:t>
      </w:r>
    </w:p>
    <w:p w:rsidR="005A0701" w:rsidRDefault="005A0701" w:rsidP="005A0701">
      <w:pPr>
        <w:spacing w:after="0" w:line="240" w:lineRule="auto"/>
        <w:rPr>
          <w:rFonts w:ascii="Gill Sans MT" w:hAnsi="Gill Sans MT"/>
        </w:rPr>
      </w:pPr>
      <w:r>
        <w:rPr>
          <w:rFonts w:ascii="Gill Sans MT" w:hAnsi="Gill Sans MT"/>
        </w:rPr>
        <w:t>Crowdfunding has become a buzzword for charities, often seen as a quick and easy fix to meet a fundraising target. When done well, crowdfunding can play a crucial part in any fundraising strategy, but all too often, it can be rushed, poorly considered and supported, and lead to failure.</w:t>
      </w:r>
      <w:r w:rsidR="008455F0">
        <w:rPr>
          <w:rFonts w:ascii="Gill Sans MT" w:hAnsi="Gill Sans MT"/>
        </w:rPr>
        <w:t xml:space="preserve"> </w:t>
      </w:r>
      <w:r>
        <w:rPr>
          <w:rFonts w:ascii="Gill Sans MT" w:hAnsi="Gill Sans MT"/>
        </w:rPr>
        <w:t xml:space="preserve">Today, social media and high visibility play a key role in successful </w:t>
      </w:r>
      <w:r w:rsidR="00EE64F6">
        <w:rPr>
          <w:rFonts w:ascii="Gill Sans MT" w:hAnsi="Gill Sans MT"/>
        </w:rPr>
        <w:t>crowdfunding</w:t>
      </w:r>
      <w:r>
        <w:rPr>
          <w:rFonts w:ascii="Gill Sans MT" w:hAnsi="Gill Sans MT"/>
        </w:rPr>
        <w:t xml:space="preserve"> campaign</w:t>
      </w:r>
      <w:r w:rsidR="00EE64F6">
        <w:rPr>
          <w:rFonts w:ascii="Gill Sans MT" w:hAnsi="Gill Sans MT"/>
        </w:rPr>
        <w:t xml:space="preserve">s, but they </w:t>
      </w:r>
      <w:r>
        <w:rPr>
          <w:rFonts w:ascii="Gill Sans MT" w:hAnsi="Gill Sans MT"/>
        </w:rPr>
        <w:t xml:space="preserve">work best </w:t>
      </w:r>
      <w:r w:rsidR="00EE64F6">
        <w:rPr>
          <w:rFonts w:ascii="Gill Sans MT" w:hAnsi="Gill Sans MT"/>
        </w:rPr>
        <w:t>with a</w:t>
      </w:r>
      <w:r>
        <w:rPr>
          <w:rFonts w:ascii="Gill Sans MT" w:hAnsi="Gill Sans MT"/>
        </w:rPr>
        <w:t xml:space="preserve"> target</w:t>
      </w:r>
      <w:r w:rsidR="00EE64F6">
        <w:rPr>
          <w:rFonts w:ascii="Gill Sans MT" w:hAnsi="Gill Sans MT"/>
        </w:rPr>
        <w:t xml:space="preserve"> between £50,000-</w:t>
      </w:r>
      <w:r>
        <w:rPr>
          <w:rFonts w:ascii="Gill Sans MT" w:hAnsi="Gill Sans MT"/>
        </w:rPr>
        <w:t xml:space="preserve">£200,000 with a powerful call to action to engage people. </w:t>
      </w:r>
    </w:p>
    <w:p w:rsidR="005A0701" w:rsidRDefault="005A0701" w:rsidP="005A0701">
      <w:pPr>
        <w:spacing w:after="0" w:line="240" w:lineRule="auto"/>
        <w:rPr>
          <w:rFonts w:ascii="Gill Sans MT" w:hAnsi="Gill Sans MT"/>
        </w:rPr>
      </w:pPr>
    </w:p>
    <w:p w:rsidR="005A0701" w:rsidRDefault="005A0701" w:rsidP="005A0701">
      <w:pPr>
        <w:spacing w:after="0" w:line="240" w:lineRule="auto"/>
        <w:rPr>
          <w:rFonts w:ascii="Gill Sans MT" w:hAnsi="Gill Sans MT"/>
        </w:rPr>
      </w:pPr>
      <w:r>
        <w:rPr>
          <w:rFonts w:ascii="Gill Sans MT" w:hAnsi="Gill Sans MT"/>
        </w:rPr>
        <w:t>In designing any potential crowdfunding campaign, OSS should consider:</w:t>
      </w:r>
    </w:p>
    <w:p w:rsidR="005A0701" w:rsidRDefault="005A0701" w:rsidP="005A0701">
      <w:pPr>
        <w:pStyle w:val="ListParagraph"/>
        <w:numPr>
          <w:ilvl w:val="0"/>
          <w:numId w:val="35"/>
        </w:numPr>
        <w:spacing w:after="0" w:line="240" w:lineRule="auto"/>
        <w:rPr>
          <w:rFonts w:ascii="Gill Sans MT" w:hAnsi="Gill Sans MT"/>
        </w:rPr>
      </w:pPr>
      <w:r w:rsidRPr="00F8414B">
        <w:rPr>
          <w:rFonts w:ascii="Gill Sans MT" w:hAnsi="Gill Sans MT"/>
        </w:rPr>
        <w:t>Identifying a reachable target</w:t>
      </w:r>
    </w:p>
    <w:p w:rsidR="005A0701" w:rsidRDefault="005A0701" w:rsidP="005A0701">
      <w:pPr>
        <w:pStyle w:val="ListParagraph"/>
        <w:numPr>
          <w:ilvl w:val="0"/>
          <w:numId w:val="35"/>
        </w:numPr>
        <w:spacing w:after="0" w:line="240" w:lineRule="auto"/>
        <w:rPr>
          <w:rFonts w:ascii="Gill Sans MT" w:hAnsi="Gill Sans MT"/>
        </w:rPr>
      </w:pPr>
      <w:r w:rsidRPr="00F8414B">
        <w:rPr>
          <w:rFonts w:ascii="Gill Sans MT" w:hAnsi="Gill Sans MT"/>
        </w:rPr>
        <w:t>Having a strong communication strategy</w:t>
      </w:r>
      <w:r w:rsidR="00EE64F6">
        <w:rPr>
          <w:rFonts w:ascii="Gill Sans MT" w:hAnsi="Gill Sans MT"/>
        </w:rPr>
        <w:t>, launched some time prior to launch</w:t>
      </w:r>
    </w:p>
    <w:p w:rsidR="005A0701" w:rsidRDefault="005A0701" w:rsidP="005A0701">
      <w:pPr>
        <w:pStyle w:val="ListParagraph"/>
        <w:numPr>
          <w:ilvl w:val="0"/>
          <w:numId w:val="35"/>
        </w:numPr>
        <w:spacing w:after="0" w:line="240" w:lineRule="auto"/>
        <w:rPr>
          <w:rFonts w:ascii="Gill Sans MT" w:hAnsi="Gill Sans MT"/>
        </w:rPr>
      </w:pPr>
      <w:r>
        <w:rPr>
          <w:rFonts w:ascii="Gill Sans MT" w:hAnsi="Gill Sans MT"/>
        </w:rPr>
        <w:t>Ensuring a clear pitch to explain a fundraising campaign</w:t>
      </w:r>
      <w:r w:rsidR="00EE64F6">
        <w:rPr>
          <w:rFonts w:ascii="Gill Sans MT" w:hAnsi="Gill Sans MT"/>
        </w:rPr>
        <w:t xml:space="preserve"> and its impact</w:t>
      </w:r>
    </w:p>
    <w:p w:rsidR="005A0701" w:rsidRDefault="005A0701" w:rsidP="005A0701">
      <w:pPr>
        <w:pStyle w:val="ListParagraph"/>
        <w:numPr>
          <w:ilvl w:val="0"/>
          <w:numId w:val="35"/>
        </w:numPr>
        <w:spacing w:after="0" w:line="240" w:lineRule="auto"/>
        <w:rPr>
          <w:rFonts w:ascii="Gill Sans MT" w:hAnsi="Gill Sans MT"/>
        </w:rPr>
      </w:pPr>
      <w:r w:rsidRPr="00F8414B">
        <w:rPr>
          <w:rFonts w:ascii="Gill Sans MT" w:hAnsi="Gill Sans MT"/>
        </w:rPr>
        <w:t>Campaigns with video raise on average 370% more than those without</w:t>
      </w:r>
    </w:p>
    <w:p w:rsidR="005A0701" w:rsidRDefault="005A0701" w:rsidP="005A0701">
      <w:pPr>
        <w:pStyle w:val="ListParagraph"/>
        <w:numPr>
          <w:ilvl w:val="0"/>
          <w:numId w:val="35"/>
        </w:numPr>
        <w:spacing w:after="0" w:line="240" w:lineRule="auto"/>
        <w:rPr>
          <w:rFonts w:ascii="Gill Sans MT" w:hAnsi="Gill Sans MT"/>
        </w:rPr>
      </w:pPr>
      <w:r w:rsidRPr="00F8414B">
        <w:rPr>
          <w:rFonts w:ascii="Gill Sans MT" w:hAnsi="Gill Sans MT"/>
        </w:rPr>
        <w:t xml:space="preserve">Campaigns that update at least three times </w:t>
      </w:r>
      <w:r>
        <w:rPr>
          <w:rFonts w:ascii="Gill Sans MT" w:hAnsi="Gill Sans MT"/>
        </w:rPr>
        <w:t>a week</w:t>
      </w:r>
      <w:r w:rsidRPr="00F8414B">
        <w:rPr>
          <w:rFonts w:ascii="Gill Sans MT" w:hAnsi="Gill Sans MT"/>
        </w:rPr>
        <w:t xml:space="preserve"> raise on average 239% more than campaigns that update twice or less</w:t>
      </w:r>
    </w:p>
    <w:p w:rsidR="00656EC0" w:rsidRDefault="005A0701" w:rsidP="005A0701">
      <w:pPr>
        <w:pStyle w:val="ListParagraph"/>
        <w:numPr>
          <w:ilvl w:val="0"/>
          <w:numId w:val="35"/>
        </w:numPr>
        <w:spacing w:after="0" w:line="240" w:lineRule="auto"/>
        <w:rPr>
          <w:rFonts w:ascii="Gill Sans MT" w:hAnsi="Gill Sans MT"/>
        </w:rPr>
      </w:pPr>
      <w:r w:rsidRPr="00F8414B">
        <w:rPr>
          <w:rFonts w:ascii="Gill Sans MT" w:hAnsi="Gill Sans MT"/>
        </w:rPr>
        <w:t>Promotion is key to a successful</w:t>
      </w:r>
      <w:r>
        <w:rPr>
          <w:rFonts w:ascii="Gill Sans MT" w:hAnsi="Gill Sans MT"/>
        </w:rPr>
        <w:t xml:space="preserve"> crowdfunding</w:t>
      </w:r>
      <w:r w:rsidRPr="00F8414B">
        <w:rPr>
          <w:rFonts w:ascii="Gill Sans MT" w:hAnsi="Gill Sans MT"/>
        </w:rPr>
        <w:t xml:space="preserve"> campaign</w:t>
      </w:r>
      <w:r>
        <w:rPr>
          <w:rFonts w:ascii="Gill Sans MT" w:hAnsi="Gill Sans MT"/>
        </w:rPr>
        <w:t xml:space="preserve">, with </w:t>
      </w:r>
      <w:r w:rsidRPr="00F8414B">
        <w:rPr>
          <w:rFonts w:ascii="Gill Sans MT" w:hAnsi="Gill Sans MT"/>
        </w:rPr>
        <w:t>email</w:t>
      </w:r>
      <w:r>
        <w:rPr>
          <w:rFonts w:ascii="Gill Sans MT" w:hAnsi="Gill Sans MT"/>
        </w:rPr>
        <w:t xml:space="preserve">, social &amp; PR </w:t>
      </w:r>
      <w:r w:rsidR="005E22B4">
        <w:rPr>
          <w:rFonts w:ascii="Gill Sans MT" w:hAnsi="Gill Sans MT"/>
        </w:rPr>
        <w:t>outreach</w:t>
      </w:r>
    </w:p>
    <w:p w:rsidR="005E22B4" w:rsidRPr="005E22B4" w:rsidRDefault="005E22B4" w:rsidP="005E22B4">
      <w:pPr>
        <w:pStyle w:val="ListParagraph"/>
        <w:spacing w:after="0" w:line="240" w:lineRule="auto"/>
        <w:rPr>
          <w:rFonts w:ascii="Gill Sans MT" w:hAnsi="Gill Sans MT"/>
        </w:rPr>
      </w:pPr>
    </w:p>
    <w:p w:rsidR="00656EC0" w:rsidRDefault="00656EC0" w:rsidP="005A0701">
      <w:pPr>
        <w:pStyle w:val="Heading2"/>
        <w:rPr>
          <w:rFonts w:ascii="Gill Sans MT" w:hAnsi="Gill Sans MT"/>
          <w:b/>
          <w:sz w:val="24"/>
          <w:szCs w:val="24"/>
        </w:rPr>
      </w:pPr>
    </w:p>
    <w:p w:rsidR="00656EC0" w:rsidRDefault="00656EC0" w:rsidP="005A0701">
      <w:pPr>
        <w:pStyle w:val="Heading2"/>
        <w:rPr>
          <w:rFonts w:ascii="Gill Sans MT" w:hAnsi="Gill Sans MT"/>
          <w:b/>
          <w:sz w:val="24"/>
          <w:szCs w:val="24"/>
        </w:rPr>
      </w:pPr>
    </w:p>
    <w:p w:rsidR="00656EC0" w:rsidRDefault="00656EC0" w:rsidP="005A0701">
      <w:pPr>
        <w:pStyle w:val="Heading2"/>
        <w:rPr>
          <w:rFonts w:ascii="Gill Sans MT" w:hAnsi="Gill Sans MT"/>
          <w:b/>
          <w:sz w:val="24"/>
          <w:szCs w:val="24"/>
        </w:rPr>
      </w:pPr>
    </w:p>
    <w:p w:rsidR="00656EC0" w:rsidRDefault="00656EC0" w:rsidP="005A0701">
      <w:pPr>
        <w:pStyle w:val="Heading2"/>
        <w:rPr>
          <w:rFonts w:ascii="Gill Sans MT" w:hAnsi="Gill Sans MT"/>
          <w:b/>
          <w:sz w:val="24"/>
          <w:szCs w:val="24"/>
        </w:rPr>
      </w:pPr>
    </w:p>
    <w:p w:rsidR="005A0701" w:rsidRPr="00FA16DB" w:rsidRDefault="005A0701" w:rsidP="005A0701">
      <w:pPr>
        <w:pStyle w:val="Heading2"/>
        <w:rPr>
          <w:rFonts w:ascii="Gill Sans MT" w:hAnsi="Gill Sans MT"/>
          <w:b/>
          <w:sz w:val="24"/>
          <w:szCs w:val="24"/>
        </w:rPr>
      </w:pPr>
      <w:bookmarkStart w:id="5" w:name="_Toc41610207"/>
      <w:r w:rsidRPr="00FA16DB">
        <w:rPr>
          <w:rFonts w:ascii="Gill Sans MT" w:hAnsi="Gill Sans MT"/>
          <w:b/>
          <w:sz w:val="24"/>
          <w:szCs w:val="24"/>
        </w:rPr>
        <w:t>Major Donor Strategy</w:t>
      </w:r>
      <w:bookmarkEnd w:id="5"/>
    </w:p>
    <w:p w:rsidR="005A0701" w:rsidRPr="0017105E" w:rsidRDefault="005A0701" w:rsidP="005A0701">
      <w:pPr>
        <w:spacing w:after="0" w:line="240" w:lineRule="auto"/>
        <w:rPr>
          <w:rFonts w:ascii="Gill Sans MT" w:hAnsi="Gill Sans MT"/>
          <w:b/>
        </w:rPr>
      </w:pPr>
    </w:p>
    <w:p w:rsidR="005A0701" w:rsidRPr="0017105E" w:rsidRDefault="005E22B4" w:rsidP="005A0701">
      <w:pPr>
        <w:spacing w:after="0" w:line="240" w:lineRule="auto"/>
        <w:rPr>
          <w:rFonts w:ascii="Gill Sans MT" w:hAnsi="Gill Sans MT"/>
        </w:rPr>
      </w:pPr>
      <w:r>
        <w:rPr>
          <w:rFonts w:ascii="Gill Sans MT" w:hAnsi="Gill Sans MT"/>
          <w:noProof/>
        </w:rPr>
        <w:lastRenderedPageBreak/>
        <w:drawing>
          <wp:anchor distT="0" distB="0" distL="114300" distR="114300" simplePos="0" relativeHeight="251661312" behindDoc="0" locked="0" layoutInCell="1" allowOverlap="1" wp14:anchorId="159337C2">
            <wp:simplePos x="0" y="0"/>
            <wp:positionH relativeFrom="margin">
              <wp:posOffset>-635</wp:posOffset>
            </wp:positionH>
            <wp:positionV relativeFrom="margin">
              <wp:posOffset>1607422</wp:posOffset>
            </wp:positionV>
            <wp:extent cx="4356735" cy="3601085"/>
            <wp:effectExtent l="0" t="0" r="0" b="5715"/>
            <wp:wrapSquare wrapText="bothSides"/>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pyramid-of-giving.jpg"/>
                    <pic:cNvPicPr/>
                  </pic:nvPicPr>
                  <pic:blipFill rotWithShape="1">
                    <a:blip r:embed="rId9">
                      <a:extLst>
                        <a:ext uri="{28A0092B-C50C-407E-A947-70E740481C1C}">
                          <a14:useLocalDpi xmlns:a14="http://schemas.microsoft.com/office/drawing/2010/main" val="0"/>
                        </a:ext>
                      </a:extLst>
                    </a:blip>
                    <a:srcRect l="14813" t="2667" r="15745" b="1443"/>
                    <a:stretch/>
                  </pic:blipFill>
                  <pic:spPr bwMode="auto">
                    <a:xfrm>
                      <a:off x="0" y="0"/>
                      <a:ext cx="4356735" cy="3601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0701" w:rsidRPr="0017105E">
        <w:rPr>
          <w:rFonts w:ascii="Gill Sans MT" w:hAnsi="Gill Sans MT"/>
        </w:rPr>
        <w:t xml:space="preserve">Engaging high net worth individuals in </w:t>
      </w:r>
      <w:r w:rsidR="005A0701">
        <w:rPr>
          <w:rFonts w:ascii="Gill Sans MT" w:hAnsi="Gill Sans MT"/>
        </w:rPr>
        <w:t xml:space="preserve">supporting the work of OSS </w:t>
      </w:r>
      <w:r>
        <w:rPr>
          <w:rFonts w:ascii="Gill Sans MT" w:hAnsi="Gill Sans MT"/>
        </w:rPr>
        <w:t>is a key focus for OSS</w:t>
      </w:r>
      <w:r w:rsidR="005A0701" w:rsidRPr="0017105E">
        <w:rPr>
          <w:rFonts w:ascii="Gill Sans MT" w:hAnsi="Gill Sans MT"/>
        </w:rPr>
        <w:t xml:space="preserve"> in achieving the funding targets require</w:t>
      </w:r>
      <w:r w:rsidR="005A0701">
        <w:rPr>
          <w:rFonts w:ascii="Gill Sans MT" w:hAnsi="Gill Sans MT"/>
        </w:rPr>
        <w:t>d</w:t>
      </w:r>
      <w:r>
        <w:rPr>
          <w:rFonts w:ascii="Gill Sans MT" w:hAnsi="Gill Sans MT"/>
        </w:rPr>
        <w:t>,</w:t>
      </w:r>
      <w:r w:rsidR="005A0701">
        <w:rPr>
          <w:rFonts w:ascii="Gill Sans MT" w:hAnsi="Gill Sans MT"/>
        </w:rPr>
        <w:t xml:space="preserve"> and OSS has done well in this area to date.</w:t>
      </w:r>
      <w:r>
        <w:rPr>
          <w:rFonts w:ascii="Gill Sans MT" w:hAnsi="Gill Sans MT"/>
        </w:rPr>
        <w:t xml:space="preserve"> </w:t>
      </w:r>
      <w:r w:rsidR="005A0701" w:rsidRPr="0017105E">
        <w:rPr>
          <w:rFonts w:ascii="Gill Sans MT" w:hAnsi="Gill Sans MT"/>
        </w:rPr>
        <w:t xml:space="preserve">Inducing individuals to choose </w:t>
      </w:r>
      <w:r w:rsidR="005A0701">
        <w:rPr>
          <w:rFonts w:ascii="Gill Sans MT" w:hAnsi="Gill Sans MT"/>
        </w:rPr>
        <w:t xml:space="preserve">OSS </w:t>
      </w:r>
      <w:r w:rsidR="005A0701" w:rsidRPr="0017105E">
        <w:rPr>
          <w:rFonts w:ascii="Gill Sans MT" w:hAnsi="Gill Sans MT"/>
        </w:rPr>
        <w:t>over others and encouraging them to increase the frequency and size of their gifts is the key focus of developing an effective individual giving programme to inform a successful and growing major donor programme.</w:t>
      </w:r>
    </w:p>
    <w:p w:rsidR="005A0701" w:rsidRPr="0017105E" w:rsidRDefault="005A0701" w:rsidP="005A0701">
      <w:pPr>
        <w:spacing w:after="0" w:line="240" w:lineRule="auto"/>
        <w:rPr>
          <w:rFonts w:ascii="Gill Sans MT" w:hAnsi="Gill Sans MT"/>
        </w:rPr>
      </w:pPr>
    </w:p>
    <w:p w:rsidR="00EE64F6" w:rsidRPr="0017105E" w:rsidRDefault="005A0701" w:rsidP="005A0701">
      <w:pPr>
        <w:spacing w:after="0" w:line="240" w:lineRule="auto"/>
        <w:rPr>
          <w:rFonts w:ascii="Gill Sans MT" w:hAnsi="Gill Sans MT"/>
        </w:rPr>
      </w:pPr>
      <w:r w:rsidRPr="0017105E">
        <w:rPr>
          <w:rFonts w:ascii="Gill Sans MT" w:hAnsi="Gill Sans MT"/>
        </w:rPr>
        <w:t>Individuals as donors are important because even when approaching companies, trusts, foundations or any funding body, it is an individual engaging the individuals who represent those organisations. “People give to people” is</w:t>
      </w:r>
      <w:r>
        <w:rPr>
          <w:rFonts w:ascii="Gill Sans MT" w:hAnsi="Gill Sans MT"/>
        </w:rPr>
        <w:t xml:space="preserve"> a</w:t>
      </w:r>
      <w:r w:rsidRPr="0017105E">
        <w:rPr>
          <w:rFonts w:ascii="Gill Sans MT" w:hAnsi="Gill Sans MT"/>
        </w:rPr>
        <w:t xml:space="preserve"> truism and the personal relationships that develop and build over time leads to successful fundraising that cross</w:t>
      </w:r>
      <w:r w:rsidR="005E22B4">
        <w:rPr>
          <w:rFonts w:ascii="Gill Sans MT" w:hAnsi="Gill Sans MT"/>
        </w:rPr>
        <w:t>-</w:t>
      </w:r>
      <w:r w:rsidRPr="0017105E">
        <w:rPr>
          <w:rFonts w:ascii="Gill Sans MT" w:hAnsi="Gill Sans MT"/>
        </w:rPr>
        <w:t>fertilise</w:t>
      </w:r>
      <w:r w:rsidR="005E22B4">
        <w:rPr>
          <w:rFonts w:ascii="Gill Sans MT" w:hAnsi="Gill Sans MT"/>
        </w:rPr>
        <w:t>s</w:t>
      </w:r>
      <w:r w:rsidRPr="0017105E">
        <w:rPr>
          <w:rFonts w:ascii="Gill Sans MT" w:hAnsi="Gill Sans MT"/>
        </w:rPr>
        <w:t xml:space="preserve"> funding areas</w:t>
      </w:r>
      <w:r w:rsidR="005E22B4">
        <w:rPr>
          <w:rFonts w:ascii="Gill Sans MT" w:hAnsi="Gill Sans MT"/>
        </w:rPr>
        <w:t>.</w:t>
      </w:r>
    </w:p>
    <w:p w:rsidR="0000666C" w:rsidRDefault="0000666C" w:rsidP="008455F0">
      <w:pPr>
        <w:spacing w:after="0" w:line="240" w:lineRule="auto"/>
        <w:rPr>
          <w:rFonts w:ascii="Gill Sans MT" w:hAnsi="Gill Sans MT"/>
        </w:rPr>
      </w:pPr>
    </w:p>
    <w:p w:rsidR="005E22B4" w:rsidRDefault="005A0701" w:rsidP="0000666C">
      <w:pPr>
        <w:spacing w:after="0" w:line="240" w:lineRule="auto"/>
        <w:rPr>
          <w:rFonts w:ascii="Gill Sans MT" w:hAnsi="Gill Sans MT"/>
        </w:rPr>
      </w:pPr>
      <w:r w:rsidRPr="0017105E">
        <w:rPr>
          <w:rFonts w:ascii="Gill Sans MT" w:hAnsi="Gill Sans MT"/>
        </w:rPr>
        <w:t>Th</w:t>
      </w:r>
      <w:r w:rsidR="005E22B4">
        <w:rPr>
          <w:rFonts w:ascii="Gill Sans MT" w:hAnsi="Gill Sans MT"/>
        </w:rPr>
        <w:t>is</w:t>
      </w:r>
      <w:r w:rsidRPr="0017105E">
        <w:rPr>
          <w:rFonts w:ascii="Gill Sans MT" w:hAnsi="Gill Sans MT"/>
        </w:rPr>
        <w:t xml:space="preserve"> </w:t>
      </w:r>
      <w:r w:rsidR="005E22B4">
        <w:rPr>
          <w:rFonts w:ascii="Gill Sans MT" w:hAnsi="Gill Sans MT"/>
        </w:rPr>
        <w:t>‘</w:t>
      </w:r>
      <w:r w:rsidRPr="0017105E">
        <w:rPr>
          <w:rFonts w:ascii="Gill Sans MT" w:hAnsi="Gill Sans MT"/>
        </w:rPr>
        <w:t>pyramid of giving</w:t>
      </w:r>
      <w:r w:rsidR="005E22B4">
        <w:rPr>
          <w:rFonts w:ascii="Gill Sans MT" w:hAnsi="Gill Sans MT"/>
        </w:rPr>
        <w:t>’</w:t>
      </w:r>
      <w:r w:rsidRPr="0017105E">
        <w:rPr>
          <w:rFonts w:ascii="Gill Sans MT" w:hAnsi="Gill Sans MT"/>
        </w:rPr>
        <w:t xml:space="preserve"> is often referenced when planning both an Individual Giving and Major Donor Strategy. </w:t>
      </w:r>
      <w:r w:rsidR="0000666C">
        <w:rPr>
          <w:rFonts w:ascii="Gill Sans MT" w:hAnsi="Gill Sans MT"/>
        </w:rPr>
        <w:t>If</w:t>
      </w:r>
      <w:r w:rsidRPr="0017105E">
        <w:rPr>
          <w:rFonts w:ascii="Gill Sans MT" w:hAnsi="Gill Sans MT"/>
        </w:rPr>
        <w:t xml:space="preserve"> stewardship is working effectively, individuals will move</w:t>
      </w:r>
      <w:r w:rsidR="0000666C">
        <w:rPr>
          <w:rFonts w:ascii="Gill Sans MT" w:hAnsi="Gill Sans MT"/>
        </w:rPr>
        <w:t xml:space="preserve"> </w:t>
      </w:r>
      <w:r w:rsidRPr="0017105E">
        <w:rPr>
          <w:rFonts w:ascii="Gill Sans MT" w:hAnsi="Gill Sans MT"/>
        </w:rPr>
        <w:t>up through this pyramid</w:t>
      </w:r>
      <w:r w:rsidR="0000666C">
        <w:rPr>
          <w:rFonts w:ascii="Gill Sans MT" w:hAnsi="Gill Sans MT"/>
        </w:rPr>
        <w:t>.</w:t>
      </w:r>
      <w:r w:rsidR="005E22B4">
        <w:rPr>
          <w:rFonts w:ascii="Gill Sans MT" w:hAnsi="Gill Sans MT"/>
        </w:rPr>
        <w:t xml:space="preserve"> </w:t>
      </w:r>
      <w:r w:rsidRPr="0017105E">
        <w:rPr>
          <w:rFonts w:ascii="Gill Sans MT" w:hAnsi="Gill Sans MT"/>
        </w:rPr>
        <w:t xml:space="preserve">Research shows that it costs three times as much money to find </w:t>
      </w:r>
      <w:r>
        <w:rPr>
          <w:rFonts w:ascii="Gill Sans MT" w:hAnsi="Gill Sans MT"/>
        </w:rPr>
        <w:t xml:space="preserve">a </w:t>
      </w:r>
      <w:r w:rsidRPr="0017105E">
        <w:rPr>
          <w:rFonts w:ascii="Gill Sans MT" w:hAnsi="Gill Sans MT"/>
        </w:rPr>
        <w:t xml:space="preserve">new donor as it does to keep an existing one, and 30 times as much to attract a new donor from cold as to have an existing donor find </w:t>
      </w:r>
      <w:r>
        <w:rPr>
          <w:rFonts w:ascii="Gill Sans MT" w:hAnsi="Gill Sans MT"/>
        </w:rPr>
        <w:t xml:space="preserve">a </w:t>
      </w:r>
      <w:r w:rsidRPr="0017105E">
        <w:rPr>
          <w:rFonts w:ascii="Gill Sans MT" w:hAnsi="Gill Sans MT"/>
        </w:rPr>
        <w:t xml:space="preserve">new one for </w:t>
      </w:r>
      <w:r>
        <w:rPr>
          <w:rFonts w:ascii="Gill Sans MT" w:hAnsi="Gill Sans MT"/>
        </w:rPr>
        <w:t>OSS</w:t>
      </w:r>
      <w:r w:rsidRPr="0017105E">
        <w:rPr>
          <w:rFonts w:ascii="Gill Sans MT" w:hAnsi="Gill Sans MT"/>
        </w:rPr>
        <w:t xml:space="preserve">. Therefore, </w:t>
      </w:r>
      <w:r>
        <w:rPr>
          <w:rFonts w:ascii="Gill Sans MT" w:hAnsi="Gill Sans MT"/>
        </w:rPr>
        <w:t xml:space="preserve">OSS </w:t>
      </w:r>
      <w:r w:rsidR="00EE64F6">
        <w:rPr>
          <w:rFonts w:ascii="Gill Sans MT" w:hAnsi="Gill Sans MT"/>
        </w:rPr>
        <w:t>is</w:t>
      </w:r>
      <w:r w:rsidRPr="0017105E">
        <w:rPr>
          <w:rFonts w:ascii="Gill Sans MT" w:hAnsi="Gill Sans MT"/>
        </w:rPr>
        <w:t xml:space="preserve"> </w:t>
      </w:r>
      <w:r>
        <w:rPr>
          <w:rFonts w:ascii="Gill Sans MT" w:hAnsi="Gill Sans MT"/>
        </w:rPr>
        <w:t>continu</w:t>
      </w:r>
      <w:r w:rsidR="00EE64F6">
        <w:rPr>
          <w:rFonts w:ascii="Gill Sans MT" w:hAnsi="Gill Sans MT"/>
        </w:rPr>
        <w:t>ing</w:t>
      </w:r>
      <w:r>
        <w:rPr>
          <w:rFonts w:ascii="Gill Sans MT" w:hAnsi="Gill Sans MT"/>
        </w:rPr>
        <w:t xml:space="preserve"> to </w:t>
      </w:r>
      <w:r w:rsidRPr="0017105E">
        <w:rPr>
          <w:rFonts w:ascii="Gill Sans MT" w:hAnsi="Gill Sans MT"/>
        </w:rPr>
        <w:t xml:space="preserve">develop strong relationships with a </w:t>
      </w:r>
      <w:r w:rsidR="005E22B4">
        <w:rPr>
          <w:rFonts w:ascii="Gill Sans MT" w:hAnsi="Gill Sans MT"/>
        </w:rPr>
        <w:t>growing</w:t>
      </w:r>
      <w:r w:rsidRPr="0017105E">
        <w:rPr>
          <w:rFonts w:ascii="Gill Sans MT" w:hAnsi="Gill Sans MT"/>
        </w:rPr>
        <w:t xml:space="preserve"> group of influential donors, known to have strong major donor prospect networks</w:t>
      </w:r>
      <w:r w:rsidR="005E22B4">
        <w:rPr>
          <w:rFonts w:ascii="Gill Sans MT" w:hAnsi="Gill Sans MT"/>
        </w:rPr>
        <w:t xml:space="preserve"> and developing its </w:t>
      </w:r>
      <w:r w:rsidR="0000666C">
        <w:rPr>
          <w:rFonts w:ascii="Gill Sans MT" w:hAnsi="Gill Sans MT"/>
        </w:rPr>
        <w:t>Business Leaders Group and other ambassadors</w:t>
      </w:r>
      <w:r w:rsidRPr="0017105E">
        <w:rPr>
          <w:rFonts w:ascii="Gill Sans MT" w:hAnsi="Gill Sans MT"/>
        </w:rPr>
        <w:t xml:space="preserve"> to advocate the cause alongside Trustees</w:t>
      </w:r>
      <w:r w:rsidR="005E22B4">
        <w:rPr>
          <w:rFonts w:ascii="Gill Sans MT" w:hAnsi="Gill Sans MT"/>
        </w:rPr>
        <w:t>.</w:t>
      </w:r>
    </w:p>
    <w:p w:rsidR="005E22B4" w:rsidRDefault="005E22B4" w:rsidP="0000666C">
      <w:pPr>
        <w:spacing w:after="0" w:line="240" w:lineRule="auto"/>
        <w:rPr>
          <w:rFonts w:ascii="Gill Sans MT" w:hAnsi="Gill Sans MT"/>
        </w:rPr>
      </w:pPr>
    </w:p>
    <w:p w:rsidR="0000666C" w:rsidRPr="005E22B4" w:rsidRDefault="005A0701" w:rsidP="0000666C">
      <w:pPr>
        <w:spacing w:after="0" w:line="240" w:lineRule="auto"/>
        <w:rPr>
          <w:rFonts w:ascii="Gill Sans MT" w:hAnsi="Gill Sans MT"/>
        </w:rPr>
      </w:pPr>
      <w:r w:rsidRPr="0017105E">
        <w:rPr>
          <w:rFonts w:ascii="Gill Sans MT" w:hAnsi="Gill Sans MT"/>
        </w:rPr>
        <w:t xml:space="preserve">Major donor engagement events </w:t>
      </w:r>
      <w:r w:rsidR="005E22B4">
        <w:rPr>
          <w:rFonts w:ascii="Gill Sans MT" w:hAnsi="Gill Sans MT"/>
        </w:rPr>
        <w:t xml:space="preserve">also </w:t>
      </w:r>
      <w:r w:rsidRPr="0017105E">
        <w:rPr>
          <w:rFonts w:ascii="Gill Sans MT" w:hAnsi="Gill Sans MT"/>
        </w:rPr>
        <w:t xml:space="preserve">play an important part in cultivation and </w:t>
      </w:r>
      <w:r w:rsidR="005E22B4">
        <w:rPr>
          <w:rFonts w:ascii="Gill Sans MT" w:hAnsi="Gill Sans MT"/>
        </w:rPr>
        <w:t>through</w:t>
      </w:r>
      <w:r>
        <w:rPr>
          <w:rFonts w:ascii="Gill Sans MT" w:hAnsi="Gill Sans MT"/>
        </w:rPr>
        <w:t xml:space="preserve"> Trustees and peer</w:t>
      </w:r>
      <w:r w:rsidR="005E22B4">
        <w:rPr>
          <w:rFonts w:ascii="Gill Sans MT" w:hAnsi="Gill Sans MT"/>
        </w:rPr>
        <w:t>-</w:t>
      </w:r>
      <w:r>
        <w:rPr>
          <w:rFonts w:ascii="Gill Sans MT" w:hAnsi="Gill Sans MT"/>
        </w:rPr>
        <w:t>to</w:t>
      </w:r>
      <w:r w:rsidR="005E22B4">
        <w:rPr>
          <w:rFonts w:ascii="Gill Sans MT" w:hAnsi="Gill Sans MT"/>
        </w:rPr>
        <w:t>-</w:t>
      </w:r>
      <w:r>
        <w:rPr>
          <w:rFonts w:ascii="Gill Sans MT" w:hAnsi="Gill Sans MT"/>
        </w:rPr>
        <w:t xml:space="preserve">peer networks already established, OSS can access several prestigious venues in Scotland and in London (where there is a significant and wealthy Scottish diaspora). This </w:t>
      </w:r>
      <w:r w:rsidRPr="0017105E">
        <w:rPr>
          <w:rFonts w:ascii="Gill Sans MT" w:hAnsi="Gill Sans MT"/>
        </w:rPr>
        <w:t>provid</w:t>
      </w:r>
      <w:r>
        <w:rPr>
          <w:rFonts w:ascii="Gill Sans MT" w:hAnsi="Gill Sans MT"/>
        </w:rPr>
        <w:t>es</w:t>
      </w:r>
      <w:r w:rsidRPr="0017105E">
        <w:rPr>
          <w:rFonts w:ascii="Gill Sans MT" w:hAnsi="Gill Sans MT"/>
        </w:rPr>
        <w:t xml:space="preserve"> a platform for emotive and inspirational engagement in the work of the </w:t>
      </w:r>
      <w:r>
        <w:rPr>
          <w:rFonts w:ascii="Gill Sans MT" w:hAnsi="Gill Sans MT"/>
        </w:rPr>
        <w:t>organisation</w:t>
      </w:r>
      <w:r w:rsidR="0000666C">
        <w:rPr>
          <w:rFonts w:ascii="Gill Sans MT" w:hAnsi="Gill Sans MT"/>
        </w:rPr>
        <w:t>. P</w:t>
      </w:r>
      <w:r w:rsidRPr="0017105E">
        <w:rPr>
          <w:rFonts w:ascii="Gill Sans MT" w:hAnsi="Gill Sans MT"/>
        </w:rPr>
        <w:t>rospective major donors can</w:t>
      </w:r>
      <w:r w:rsidR="0000666C">
        <w:rPr>
          <w:rFonts w:ascii="Gill Sans MT" w:hAnsi="Gill Sans MT"/>
        </w:rPr>
        <w:t xml:space="preserve"> also</w:t>
      </w:r>
      <w:r w:rsidRPr="0017105E">
        <w:rPr>
          <w:rFonts w:ascii="Gill Sans MT" w:hAnsi="Gill Sans MT"/>
        </w:rPr>
        <w:t xml:space="preserve"> be positioned to host </w:t>
      </w:r>
      <w:r>
        <w:rPr>
          <w:rFonts w:ascii="Gill Sans MT" w:hAnsi="Gill Sans MT"/>
        </w:rPr>
        <w:t>OSS</w:t>
      </w:r>
      <w:r w:rsidRPr="0017105E">
        <w:rPr>
          <w:rFonts w:ascii="Gill Sans MT" w:hAnsi="Gill Sans MT"/>
        </w:rPr>
        <w:t xml:space="preserve"> focused events in their </w:t>
      </w:r>
      <w:r w:rsidR="0000666C">
        <w:rPr>
          <w:rFonts w:ascii="Gill Sans MT" w:hAnsi="Gill Sans MT"/>
        </w:rPr>
        <w:t>office or</w:t>
      </w:r>
      <w:r w:rsidRPr="0017105E">
        <w:rPr>
          <w:rFonts w:ascii="Gill Sans MT" w:hAnsi="Gill Sans MT"/>
        </w:rPr>
        <w:t xml:space="preserve"> home, inviting others to engage and widening the pool</w:t>
      </w:r>
    </w:p>
    <w:p w:rsidR="002401D5" w:rsidRPr="00426E7D" w:rsidRDefault="002401D5" w:rsidP="002401D5">
      <w:pPr>
        <w:jc w:val="center"/>
        <w:rPr>
          <w:b/>
          <w:bCs/>
          <w:sz w:val="32"/>
          <w:szCs w:val="32"/>
        </w:rPr>
      </w:pPr>
      <w:r>
        <w:rPr>
          <w:rFonts w:cs="Arial"/>
          <w:noProof/>
        </w:rPr>
        <mc:AlternateContent>
          <mc:Choice Requires="wps">
            <w:drawing>
              <wp:anchor distT="0" distB="0" distL="114300" distR="114300" simplePos="0" relativeHeight="251668480" behindDoc="0" locked="0" layoutInCell="1" allowOverlap="1" wp14:anchorId="2E01E195" wp14:editId="1937DE75">
                <wp:simplePos x="0" y="0"/>
                <wp:positionH relativeFrom="column">
                  <wp:posOffset>6993454</wp:posOffset>
                </wp:positionH>
                <wp:positionV relativeFrom="paragraph">
                  <wp:posOffset>4968936</wp:posOffset>
                </wp:positionV>
                <wp:extent cx="2060154" cy="30847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60154" cy="308472"/>
                        </a:xfrm>
                        <a:prstGeom prst="rect">
                          <a:avLst/>
                        </a:prstGeom>
                        <a:noFill/>
                        <a:ln w="6350">
                          <a:noFill/>
                        </a:ln>
                      </wps:spPr>
                      <wps:txbx>
                        <w:txbxContent>
                          <w:p w:rsidR="002401D5" w:rsidRPr="00782835" w:rsidRDefault="002401D5" w:rsidP="002401D5">
                            <w:pPr>
                              <w:jc w:val="center"/>
                              <w:rPr>
                                <w:b/>
                                <w:bCs/>
                                <w:color w:val="000000"/>
                                <w14:textOutline w14:w="9525" w14:cap="rnd" w14:cmpd="sng" w14:algn="ctr">
                                  <w14:noFill/>
                                  <w14:prstDash w14:val="solid"/>
                                  <w14:bevel/>
                                </w14:textOutline>
                                <w14:textFill>
                                  <w14:solidFill>
                                    <w14:srgbClr w14:val="000000">
                                      <w14:alpha w14:val="1000"/>
                                    </w14:srgbClr>
                                  </w14:solidFill>
                                </w14:textFill>
                              </w:rPr>
                            </w:pPr>
                            <w:r w:rsidRPr="00782835">
                              <w:rPr>
                                <w:rFonts w:eastAsia="MS PGothic" w:cs="Arial"/>
                                <w:b/>
                                <w:bCs/>
                                <w:kern w:val="24"/>
                              </w:rPr>
                              <w:t>£198</w:t>
                            </w:r>
                            <w:r>
                              <w:rPr>
                                <w:rFonts w:eastAsia="MS PGothic" w:cs="Arial"/>
                                <w:b/>
                                <w:bCs/>
                                <w:kern w:val="24"/>
                              </w:rPr>
                              <w:t>,</w:t>
                            </w:r>
                            <w:r w:rsidRPr="00782835">
                              <w:rPr>
                                <w:rFonts w:eastAsia="MS PGothic" w:cs="Arial"/>
                                <w:b/>
                                <w:bCs/>
                                <w:kern w:val="24"/>
                              </w:rPr>
                              <w:t>750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01E195" id="_x0000_t202" coordsize="21600,21600" o:spt="202" path="m,l,21600r21600,l21600,xe">
                <v:stroke joinstyle="miter"/>
                <v:path gradientshapeok="t" o:connecttype="rect"/>
              </v:shapetype>
              <v:shape id="Text Box 11" o:spid="_x0000_s1026" type="#_x0000_t202" style="position:absolute;left:0;text-align:left;margin-left:550.65pt;margin-top:391.25pt;width:162.2pt;height:24.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03DLQIAAFMEAAAOAAAAZHJzL2Uyb0RvYy54bWysVE1vGjEQvVfqf7B8L7sQIAliiWgiqkoo&#13;&#10;iQRVzsZrsyvZHtc27NJf37F3ISjtqerFjGdm5+O9Z+YPrVbkKJyvwRR0OMgpEYZDWZt9QX9sV1/u&#13;&#10;KPGBmZIpMKKgJ+Hpw+Lzp3ljZ2IEFahSOIJFjJ81tqBVCHaWZZ5XQjM/ACsMBiU4zQJe3T4rHWuw&#13;&#10;ulbZKM+nWQOutA648B69T12QLlJ9KQUPL1J6EYgqKM4W0unSuYtntpiz2d4xW9W8H4P9wxSa1Qab&#13;&#10;Xko9scDIwdV/lNI1d+BBhgEHnYGUNRdpB9xmmH/YZlMxK9IuCI63F5j8/yvLn4+vjtQlcjekxDCN&#13;&#10;HG1FG8hXaAm6EJ/G+hmmbSwmhhb9mHv2e3TGtVvpdPzFhQjGEenTBd1YjaNzlE/z4WRMCcfYTX43&#13;&#10;vh3FMtn719b58E2AJtEoqEP2EqjsuPahSz2nxGYGVrVSiUFlSFPQ6c0kTx9cIlhcGewRd+hmjVZo&#13;&#10;d22/2A7KE+7loFOGt3xVY/M18+GVOZQCroLyDi94SAXYBHqLkgrcr7/5Yz4yhFFKGpRWQf3PA3OC&#13;&#10;EvXdIHf3w/E4ajFdxpPbEV7cdWR3HTEH/QioXqQHp0tmzA/qbEoH+g1fwTJ2xRAzHHsXNJzNx9AJ&#13;&#10;Hl8RF8tlSkL1WRbWZmN5LB3hjNBu2zfmbI9/QOae4SxCNvtAQ5fbEbE8BJB14igC3KHa447KTSz3&#13;&#10;ryw+jet7ynr/L1j8BgAA//8DAFBLAwQUAAYACAAAACEAAza+BOYAAAASAQAADwAAAGRycy9kb3du&#13;&#10;cmV2LnhtbExPPU/DMBDdkfgP1iGxUccpoVEap6qCKiREh5YubE7sJhHxOcRuG/j1XCdYTnq695mv&#13;&#10;Jtuzsxl951CCmEXADNZOd9hIOLxvHlJgPijUqndoJHwbD6vi9iZXmXYX3JnzPjSMTNBnSkIbwpBx&#13;&#10;7uvWWOVnbjBIv6MbrQoEx4brUV3I3PY8jqInblWHlNCqwZStqT/3Jyvhtdxs1a6KbfrTly9vx/Xw&#13;&#10;dfhIpLy/m56XdNZLYMFM4U8B1w3UHwoqVrkTas96wiISc+JKWKRxAuxKeYyTBbBKQjoXAniR8/9T&#13;&#10;il8AAAD//wMAUEsBAi0AFAAGAAgAAAAhALaDOJL+AAAA4QEAABMAAAAAAAAAAAAAAAAAAAAAAFtD&#13;&#10;b250ZW50X1R5cGVzXS54bWxQSwECLQAUAAYACAAAACEAOP0h/9YAAACUAQAACwAAAAAAAAAAAAAA&#13;&#10;AAAvAQAAX3JlbHMvLnJlbHNQSwECLQAUAAYACAAAACEAeBdNwy0CAABTBAAADgAAAAAAAAAAAAAA&#13;&#10;AAAuAgAAZHJzL2Uyb0RvYy54bWxQSwECLQAUAAYACAAAACEAAza+BOYAAAASAQAADwAAAAAAAAAA&#13;&#10;AAAAAACHBAAAZHJzL2Rvd25yZXYueG1sUEsFBgAAAAAEAAQA8wAAAJoFAAAAAA==&#13;&#10;" filled="f" stroked="f" strokeweight=".5pt">
                <v:textbox>
                  <w:txbxContent>
                    <w:p w:rsidR="002401D5" w:rsidRPr="00782835" w:rsidRDefault="002401D5" w:rsidP="002401D5">
                      <w:pPr>
                        <w:jc w:val="center"/>
                        <w:rPr>
                          <w:b/>
                          <w:bCs/>
                          <w:color w:val="000000"/>
                          <w14:textOutline w14:w="9525" w14:cap="rnd" w14:cmpd="sng" w14:algn="ctr">
                            <w14:noFill/>
                            <w14:prstDash w14:val="solid"/>
                            <w14:bevel/>
                          </w14:textOutline>
                          <w14:textFill>
                            <w14:solidFill>
                              <w14:srgbClr w14:val="000000">
                                <w14:alpha w14:val="1000"/>
                              </w14:srgbClr>
                            </w14:solidFill>
                          </w14:textFill>
                        </w:rPr>
                      </w:pPr>
                      <w:r w:rsidRPr="00782835">
                        <w:rPr>
                          <w:rFonts w:eastAsia="MS PGothic" w:cs="Arial"/>
                          <w:b/>
                          <w:bCs/>
                          <w:kern w:val="24"/>
                        </w:rPr>
                        <w:t>£198</w:t>
                      </w:r>
                      <w:r>
                        <w:rPr>
                          <w:rFonts w:eastAsia="MS PGothic" w:cs="Arial"/>
                          <w:b/>
                          <w:bCs/>
                          <w:kern w:val="24"/>
                        </w:rPr>
                        <w:t>,</w:t>
                      </w:r>
                      <w:r w:rsidRPr="00782835">
                        <w:rPr>
                          <w:rFonts w:eastAsia="MS PGothic" w:cs="Arial"/>
                          <w:b/>
                          <w:bCs/>
                          <w:kern w:val="24"/>
                        </w:rPr>
                        <w:t>750</w:t>
                      </w:r>
                    </w:p>
                  </w:txbxContent>
                </v:textbox>
              </v:shape>
            </w:pict>
          </mc:Fallback>
        </mc:AlternateContent>
      </w:r>
      <w:r>
        <w:rPr>
          <w:rFonts w:cs="Arial"/>
          <w:noProof/>
        </w:rPr>
        <mc:AlternateContent>
          <mc:Choice Requires="wps">
            <w:drawing>
              <wp:anchor distT="0" distB="0" distL="114300" distR="114300" simplePos="0" relativeHeight="251667456" behindDoc="0" locked="0" layoutInCell="1" allowOverlap="1" wp14:anchorId="0F5DF35E" wp14:editId="224E0DDB">
                <wp:simplePos x="0" y="0"/>
                <wp:positionH relativeFrom="column">
                  <wp:posOffset>15875</wp:posOffset>
                </wp:positionH>
                <wp:positionV relativeFrom="paragraph">
                  <wp:posOffset>4974016</wp:posOffset>
                </wp:positionV>
                <wp:extent cx="705080" cy="308472"/>
                <wp:effectExtent l="0" t="0" r="0" b="0"/>
                <wp:wrapNone/>
                <wp:docPr id="1" name="Text Box 1"/>
                <wp:cNvGraphicFramePr/>
                <a:graphic xmlns:a="http://schemas.openxmlformats.org/drawingml/2006/main">
                  <a:graphicData uri="http://schemas.microsoft.com/office/word/2010/wordprocessingShape">
                    <wps:wsp>
                      <wps:cNvSpPr txBox="1"/>
                      <wps:spPr>
                        <a:xfrm>
                          <a:off x="0" y="0"/>
                          <a:ext cx="705080" cy="308472"/>
                        </a:xfrm>
                        <a:prstGeom prst="rect">
                          <a:avLst/>
                        </a:prstGeom>
                        <a:noFill/>
                        <a:ln w="6350">
                          <a:noFill/>
                        </a:ln>
                      </wps:spPr>
                      <wps:txbx>
                        <w:txbxContent>
                          <w:p w:rsidR="002401D5" w:rsidRDefault="002401D5" w:rsidP="002401D5">
                            <w:pPr>
                              <w:jc w:val="center"/>
                              <w:rPr>
                                <w:rFonts w:cs="Arial"/>
                              </w:rPr>
                            </w:pPr>
                            <w:r>
                              <w:rPr>
                                <w:rFonts w:cs="Arial"/>
                              </w:rPr>
                              <w:t>5k</w:t>
                            </w:r>
                          </w:p>
                          <w:p w:rsidR="002401D5" w:rsidRPr="00782835" w:rsidRDefault="002401D5" w:rsidP="002401D5">
                            <w:pPr>
                              <w:jc w:val="center"/>
                              <w:rPr>
                                <w:color w:val="000000"/>
                                <w14:textOutline w14:w="9525" w14:cap="rnd" w14:cmpd="sng" w14:algn="ctr">
                                  <w14:noFill/>
                                  <w14:prstDash w14:val="solid"/>
                                  <w14:bevel/>
                                </w14:textOutline>
                                <w14:textFill>
                                  <w14:solidFill>
                                    <w14:srgbClr w14:val="000000">
                                      <w14:alpha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DF35E" id="Text Box 1" o:spid="_x0000_s1027" type="#_x0000_t202" style="position:absolute;left:0;text-align:left;margin-left:1.25pt;margin-top:391.65pt;width:55.5pt;height:24.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n5mLQIAAFcEAAAOAAAAZHJzL2Uyb0RvYy54bWysVE1vGjEQvVfqf7B8L7sQSMiKJaKJqCqh&#13;&#10;JBJUORuvDSvZHtc27NJf37F3ISjtqerFjGdm5+O9Z2YPrVbkKJyvwZR0OMgpEYZDVZtdSX9sll+m&#13;&#10;lPjATMUUGFHSk/D0Yf7506yxhRjBHlQlHMEixheNLek+BFtkmed7oZkfgBUGgxKcZgGvbpdVjjVY&#13;&#10;XatslOe3WQOusg648B69T12QzlN9KQUPL1J6EYgqKc4W0unSuY1nNp+xYueY3de8H4P9wxSa1Qab&#13;&#10;Xko9scDIwdV/lNI1d+BBhgEHnYGUNRdpB9xmmH/YZr1nVqRdEBxvLzD5/1eWPx9fHakr5I4SwzRS&#13;&#10;tBFtIF+hJcOITmN9gUlri2mhRXfM7P0enXHpVjodf3EdgnHE+XTBNhbj6LzLJ/kUIxxDN/l0fDeK&#13;&#10;VbL3j63z4ZsATaJRUofUJUTZceVDl3pOib0MLGul0M8KZUhT0tubSZ4+uESwuDLYI67QjRqt0G7b&#13;&#10;fuF+jS1UJ9zOQacOb/myxhlWzIdX5lAOODZKPLzgIRVgL+gtSvbgfv3NH/ORJYxS0qC8Sup/HpgT&#13;&#10;lKjvBvm7H47HUY/pMp7cjfDiriPb64g56EdABSNHOF0yY35QZ1M60G/4EhaxK4aY4di7pOFsPoZO&#13;&#10;9PiSuFgsUhIq0LKwMmvLY+kIZUR4074xZ3saAvL3DGchsuIDG11ux8fiEEDWiaqIc4dqDz+qN5Hd&#13;&#10;v7T4PK7vKev9/2D+GwAA//8DAFBLAwQUAAYACAAAACEAypiIf+QAAAAOAQAADwAAAGRycy9kb3du&#13;&#10;cmV2LnhtbExPy07DMBC8I/EP1lbiRp2HCiGNU1VBFRKCQ0sv3JzYTaLa6xC7beDr2Z7gstLuzM6j&#13;&#10;WE3WsLMefe9QQDyPgGlsnOqxFbD/2NxnwHyQqKRxqAV8aw+r8vamkLlyF9zq8y60jETQ51JAF8KQ&#13;&#10;c+6bTlvp527QSNjBjVYGWseWq1FeSNwankTRA7eyR3Lo5KCrTjfH3ckKeK0273JbJzb7MdXL22E9&#13;&#10;fO0/F0LczabnJY31EljQU/j7gGsHyg8lBavdCZVnRkCyIKKAxyxNgV3xOKVLLSBL4yfgZcH/1yh/&#13;&#10;AQAA//8DAFBLAQItABQABgAIAAAAIQC2gziS/gAAAOEBAAATAAAAAAAAAAAAAAAAAAAAAABbQ29u&#13;&#10;dGVudF9UeXBlc10ueG1sUEsBAi0AFAAGAAgAAAAhADj9If/WAAAAlAEAAAsAAAAAAAAAAAAAAAAA&#13;&#10;LwEAAF9yZWxzLy5yZWxzUEsBAi0AFAAGAAgAAAAhADKufmYtAgAAVwQAAA4AAAAAAAAAAAAAAAAA&#13;&#10;LgIAAGRycy9lMm9Eb2MueG1sUEsBAi0AFAAGAAgAAAAhAMqYiH/kAAAADgEAAA8AAAAAAAAAAAAA&#13;&#10;AAAAhwQAAGRycy9kb3ducmV2LnhtbFBLBQYAAAAABAAEAPMAAACYBQAAAAA=&#13;&#10;" filled="f" stroked="f" strokeweight=".5pt">
                <v:textbox>
                  <w:txbxContent>
                    <w:p w:rsidR="002401D5" w:rsidRDefault="002401D5" w:rsidP="002401D5">
                      <w:pPr>
                        <w:jc w:val="center"/>
                        <w:rPr>
                          <w:rFonts w:cs="Arial"/>
                        </w:rPr>
                      </w:pPr>
                      <w:r>
                        <w:rPr>
                          <w:rFonts w:cs="Arial"/>
                        </w:rPr>
                        <w:t>5k</w:t>
                      </w:r>
                    </w:p>
                    <w:p w:rsidR="002401D5" w:rsidRPr="00782835" w:rsidRDefault="002401D5" w:rsidP="002401D5">
                      <w:pPr>
                        <w:jc w:val="center"/>
                        <w:rPr>
                          <w:color w:val="000000"/>
                          <w14:textOutline w14:w="9525" w14:cap="rnd" w14:cmpd="sng" w14:algn="ctr">
                            <w14:noFill/>
                            <w14:prstDash w14:val="solid"/>
                            <w14:bevel/>
                          </w14:textOutline>
                          <w14:textFill>
                            <w14:solidFill>
                              <w14:srgbClr w14:val="000000">
                                <w14:alpha w14:val="1000"/>
                              </w14:srgbClr>
                            </w14:solidFill>
                          </w14:textFill>
                        </w:rPr>
                      </w:pPr>
                    </w:p>
                  </w:txbxContent>
                </v:textbox>
              </v:shape>
            </w:pict>
          </mc:Fallback>
        </mc:AlternateContent>
      </w:r>
      <w:r>
        <w:rPr>
          <w:rFonts w:cs="Arial"/>
          <w:noProof/>
        </w:rPr>
        <mc:AlternateContent>
          <mc:Choice Requires="wps">
            <w:drawing>
              <wp:anchor distT="0" distB="0" distL="114300" distR="114300" simplePos="0" relativeHeight="251666432" behindDoc="0" locked="0" layoutInCell="1" allowOverlap="1" wp14:anchorId="27764095" wp14:editId="7E986C8A">
                <wp:simplePos x="0" y="0"/>
                <wp:positionH relativeFrom="column">
                  <wp:posOffset>842791</wp:posOffset>
                </wp:positionH>
                <wp:positionV relativeFrom="paragraph">
                  <wp:posOffset>4971308</wp:posOffset>
                </wp:positionV>
                <wp:extent cx="705080" cy="308472"/>
                <wp:effectExtent l="0" t="0" r="0" b="0"/>
                <wp:wrapNone/>
                <wp:docPr id="9" name="Text Box 9"/>
                <wp:cNvGraphicFramePr/>
                <a:graphic xmlns:a="http://schemas.openxmlformats.org/drawingml/2006/main">
                  <a:graphicData uri="http://schemas.microsoft.com/office/word/2010/wordprocessingShape">
                    <wps:wsp>
                      <wps:cNvSpPr txBox="1"/>
                      <wps:spPr>
                        <a:xfrm>
                          <a:off x="0" y="0"/>
                          <a:ext cx="705080" cy="308472"/>
                        </a:xfrm>
                        <a:prstGeom prst="rect">
                          <a:avLst/>
                        </a:prstGeom>
                        <a:noFill/>
                        <a:ln w="6350">
                          <a:noFill/>
                        </a:ln>
                      </wps:spPr>
                      <wps:txbx>
                        <w:txbxContent>
                          <w:p w:rsidR="002401D5" w:rsidRPr="00782835" w:rsidRDefault="002401D5" w:rsidP="002401D5">
                            <w:pPr>
                              <w:jc w:val="center"/>
                              <w:rPr>
                                <w:color w:val="000000"/>
                                <w14:textOutline w14:w="9525" w14:cap="rnd" w14:cmpd="sng" w14:algn="ctr">
                                  <w14:noFill/>
                                  <w14:prstDash w14:val="solid"/>
                                  <w14:bevel/>
                                </w14:textOutline>
                                <w14:textFill>
                                  <w14:solidFill>
                                    <w14:srgbClr w14:val="000000">
                                      <w14:alpha w14:val="1000"/>
                                    </w14:srgbClr>
                                  </w14:solidFill>
                                </w14:textFill>
                              </w:rPr>
                            </w:pPr>
                            <w:r w:rsidRPr="00782835">
                              <w:rPr>
                                <w:rFonts w:cs="Arial"/>
                              </w:rPr>
                              <w:t>300k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64095" id="Text Box 9" o:spid="_x0000_s1028" type="#_x0000_t202" style="position:absolute;left:0;text-align:left;margin-left:66.35pt;margin-top:391.45pt;width:55.5pt;height:24.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VV1LQIAAFcEAAAOAAAAZHJzL2Uyb0RvYy54bWysVE1vGjEQvVfqf7B8L7sQSACxRDQRVSWU&#13;&#10;RIIqZ+O12ZVsj2sbdumv79jLl9Keql7MeGb2zcd7ZvbYakUOwvkaTEH7vZwSYTiUtdkV9Mdm+WVM&#13;&#10;iQ/MlEyBEQU9Ck8f558/zRo7FQOoQJXCEQQxftrYglYh2GmWeV4JzXwPrDAYlOA0C3h1u6x0rEF0&#13;&#10;rbJBnt9nDbjSOuDCe/Q+d0E6T/hSCh5epfQiEFVQ7C2k06VzG89sPmPTnWO2qvmpDfYPXWhWGyx6&#13;&#10;gXpmgZG9q/+A0jV34EGGHgedgZQ1F2kGnKaff5hmXTEr0iy4HG8va/L/D5a/HN4cqcuCTigxTCNF&#13;&#10;G9EG8hVaMonbaayfYtLaYlpo0Y0sn/0enXHoVjodf3EcgnHc8/Gy2wjG0fmQj/IxRjiG7vLx8GEQ&#13;&#10;UbLrx9b58E2AJtEoqEPq0kbZYeVDl3pOibUMLGulEn3KkKag93ejPH1wiSC4MlgjjtC1Gq3Qbts0&#13;&#10;cGogerZQHnE6B506vOXLGntYMR/emEM5YNso8fCKh1SAteBkUVKB+/U3f8xHljBKSYPyKqj/uWdO&#13;&#10;UKK+G+Rv0h8Oox7TZTh6GODF3Ua2txGz10+ACu7jY7I8mTE/qLMpHeh3fAmLWBVDzHCsXdBwNp9C&#13;&#10;J3p8SVwsFikJFWhZWJm15RE6bjVueNO+M2dPNATk7wXOQmTTD2x0uR0fi30AWSeqrls9rR/Vm8g+&#13;&#10;vbT4PG7vKev6fzD/DQAA//8DAFBLAwQUAAYACAAAACEAGXfzX+YAAAAQAQAADwAAAGRycy9kb3du&#13;&#10;cmV2LnhtbExPPU/DMBDdkfgP1iGxUacOpWkap6qCKiRUhpYu3S6xm0TEdojdNvDrOSZYTnp3795H&#13;&#10;thpNxy568K2zEqaTCJi2lVOtrSUc3jcPCTAf0CrsnNUSvrSHVX57k2Gq3NXu9GUfakYi1qcooQmh&#13;&#10;Tzn3VaMN+onrtaXbyQ0GA8Gh5mrAK4mbjosoeuIGW0sODfa6aHT1sT8bCa/F5g13pTDJd1e8bE/r&#13;&#10;/vNwnEl5fzc+L2msl8CCHsPfB/x2oPyQU7DSna3yrCMcizlRJcwTsQBGDPEY06aUkMTTGfA84/+L&#13;&#10;5D8AAAD//wMAUEsBAi0AFAAGAAgAAAAhALaDOJL+AAAA4QEAABMAAAAAAAAAAAAAAAAAAAAAAFtD&#13;&#10;b250ZW50X1R5cGVzXS54bWxQSwECLQAUAAYACAAAACEAOP0h/9YAAACUAQAACwAAAAAAAAAAAAAA&#13;&#10;AAAvAQAAX3JlbHMvLnJlbHNQSwECLQAUAAYACAAAACEAFYlVdS0CAABXBAAADgAAAAAAAAAAAAAA&#13;&#10;AAAuAgAAZHJzL2Uyb0RvYy54bWxQSwECLQAUAAYACAAAACEAGXfzX+YAAAAQAQAADwAAAAAAAAAA&#13;&#10;AAAAAACHBAAAZHJzL2Rvd25yZXYueG1sUEsFBgAAAAAEAAQA8wAAAJoFAAAAAA==&#13;&#10;" filled="f" stroked="f" strokeweight=".5pt">
                <v:textbox>
                  <w:txbxContent>
                    <w:p w:rsidR="002401D5" w:rsidRPr="00782835" w:rsidRDefault="002401D5" w:rsidP="002401D5">
                      <w:pPr>
                        <w:jc w:val="center"/>
                        <w:rPr>
                          <w:color w:val="000000"/>
                          <w14:textOutline w14:w="9525" w14:cap="rnd" w14:cmpd="sng" w14:algn="ctr">
                            <w14:noFill/>
                            <w14:prstDash w14:val="solid"/>
                            <w14:bevel/>
                          </w14:textOutline>
                          <w14:textFill>
                            <w14:solidFill>
                              <w14:srgbClr w14:val="000000">
                                <w14:alpha w14:val="1000"/>
                              </w14:srgbClr>
                            </w14:solidFill>
                          </w14:textFill>
                        </w:rPr>
                      </w:pPr>
                      <w:r w:rsidRPr="00782835">
                        <w:rPr>
                          <w:rFonts w:cs="Arial"/>
                        </w:rPr>
                        <w:t>300k</w:t>
                      </w:r>
                    </w:p>
                  </w:txbxContent>
                </v:textbox>
              </v:shape>
            </w:pict>
          </mc:Fallback>
        </mc:AlternateContent>
      </w:r>
      <w:r>
        <w:rPr>
          <w:rFonts w:cs="Arial"/>
          <w:noProof/>
        </w:rPr>
        <mc:AlternateContent>
          <mc:Choice Requires="wps">
            <w:drawing>
              <wp:anchor distT="0" distB="0" distL="114300" distR="114300" simplePos="0" relativeHeight="251665408" behindDoc="0" locked="0" layoutInCell="1" allowOverlap="1" wp14:anchorId="3888F739" wp14:editId="798120BE">
                <wp:simplePos x="0" y="0"/>
                <wp:positionH relativeFrom="column">
                  <wp:posOffset>1905918</wp:posOffset>
                </wp:positionH>
                <wp:positionV relativeFrom="paragraph">
                  <wp:posOffset>4971308</wp:posOffset>
                </wp:positionV>
                <wp:extent cx="2060154" cy="308472"/>
                <wp:effectExtent l="0" t="0" r="0" b="0"/>
                <wp:wrapNone/>
                <wp:docPr id="4" name="Text Box 4"/>
                <wp:cNvGraphicFramePr/>
                <a:graphic xmlns:a="http://schemas.openxmlformats.org/drawingml/2006/main">
                  <a:graphicData uri="http://schemas.microsoft.com/office/word/2010/wordprocessingShape">
                    <wps:wsp>
                      <wps:cNvSpPr txBox="1"/>
                      <wps:spPr>
                        <a:xfrm>
                          <a:off x="0" y="0"/>
                          <a:ext cx="2060154" cy="308472"/>
                        </a:xfrm>
                        <a:prstGeom prst="rect">
                          <a:avLst/>
                        </a:prstGeom>
                        <a:noFill/>
                        <a:ln w="6350">
                          <a:noFill/>
                        </a:ln>
                      </wps:spPr>
                      <wps:txbx>
                        <w:txbxContent>
                          <w:p w:rsidR="002401D5" w:rsidRPr="004467F4" w:rsidRDefault="002401D5" w:rsidP="002401D5">
                            <w:pPr>
                              <w:jc w:val="center"/>
                              <w:rPr>
                                <w:b/>
                                <w:bCs/>
                                <w:color w:val="000000"/>
                                <w14:textOutline w14:w="9525" w14:cap="rnd" w14:cmpd="sng" w14:algn="ctr">
                                  <w14:noFill/>
                                  <w14:prstDash w14:val="solid"/>
                                  <w14:bevel/>
                                </w14:textOutline>
                                <w14:textFill>
                                  <w14:solidFill>
                                    <w14:srgbClr w14:val="000000">
                                      <w14:alpha w14:val="1000"/>
                                    </w14:srgbClr>
                                  </w14:solidFill>
                                </w14:textFill>
                              </w:rPr>
                            </w:pPr>
                            <w:r w:rsidRPr="004B0DAD">
                              <w:rPr>
                                <w:rFonts w:cs="Arial"/>
                                <w:b/>
                                <w:bCs/>
                              </w:rPr>
                              <w:t>All other potential donors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8F739" id="Text Box 4" o:spid="_x0000_s1029" type="#_x0000_t202" style="position:absolute;left:0;text-align:left;margin-left:150.05pt;margin-top:391.45pt;width:162.2pt;height:24.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8a6MAIAAFgEAAAOAAAAZHJzL2Uyb0RvYy54bWysVFFv2jAQfp+0/2D5fSRAoG1EqFgrpklV&#13;&#10;WwmmPhvHJpFin2cbEvbrd3YIRd2epr2Y893lzt/33bG471RDjsK6GnRBx6OUEqE5lLXeF/THdv3l&#13;&#10;lhLnmS5ZA1oU9CQcvV9+/rRoTS4mUEFTCkuwiHZ5awpaeW/yJHG8Eoq5ERihMSjBKubxavdJaVmL&#13;&#10;1VWTTNJ0nrRgS2OBC+fQ+9gH6TLWl1Jw/yKlE540BcW3+XjaeO7CmSwXLN9bZqqan5/B/uEVitUa&#13;&#10;m15KPTLPyMHWf5RSNbfgQPoRB5WAlDUXEQOiGacf0GwqZkTEguQ4c6HJ/b+y/Pn4akldFjSjRDOF&#13;&#10;Em1F58lX6EgW2GmNyzFpYzDNd+hGlQe/Q2cA3Umrwi/CIRhHnk8XbkMxjs5JOk/HM2zCMTZNb7Ob&#13;&#10;SSiTvH9trPPfBCgSjIJa1C5Syo5PzvepQ0popmFdN03Ur9GkLeh8OkvjB5cIFm809ggY+rcGy3e7&#13;&#10;LiKeDjh2UJ4QnoV+PJzh6xrf8MScf2UW5wER4Yz7FzxkA9gLzhYlFdhff/OHfJQJo5S0OF8FdT8P&#13;&#10;zApKmu8aBbwbZ1kYyHjJZjcTvNjryO46og/qAXCEx7hNhkcz5PtmMKUF9YarsApdMcQ0x94F9YP5&#13;&#10;4Pupx1XiYrWKSTiChvknvTE8lA6sBoa33Ruz5iyDRwGfYZhEln9Qo8/t9VgdPMg6ShV47lk904/j&#13;&#10;G8U+r1rYj+t7zHr/Q1j+BgAA//8DAFBLAwQUAAYACAAAACEACEkGluUAAAAQAQAADwAAAGRycy9k&#13;&#10;b3ducmV2LnhtbExPPU/DMBDdkfgP1iGxUTspKSGNU1VBFRIqQ0sXtkt8TSJiO8RuG/j1mAmWk57u&#13;&#10;fearSffsTKPrrJEQzQQwMrVVnWkkHN42dykw59Eo7K0hCV/kYFVcX+WYKXsxOzrvfcOCiXEZSmi9&#13;&#10;HzLOXd2SRjezA5nwO9pRow9wbLga8RLMdc9jIRZcY2dCQosDlS3VH/uTlvBSbl5xV8U6/e7L5+1x&#13;&#10;PXwe3hMpb2+mp2U46yUwT5P/U8DvhtAfilCssiejHOslzIWIAlXCQxo/AguMRXyfAKskpPMoAV7k&#13;&#10;/P+Q4gcAAP//AwBQSwECLQAUAAYACAAAACEAtoM4kv4AAADhAQAAEwAAAAAAAAAAAAAAAAAAAAAA&#13;&#10;W0NvbnRlbnRfVHlwZXNdLnhtbFBLAQItABQABgAIAAAAIQA4/SH/1gAAAJQBAAALAAAAAAAAAAAA&#13;&#10;AAAAAC8BAABfcmVscy8ucmVsc1BLAQItABQABgAIAAAAIQDgB8a6MAIAAFgEAAAOAAAAAAAAAAAA&#13;&#10;AAAAAC4CAABkcnMvZTJvRG9jLnhtbFBLAQItABQABgAIAAAAIQAISQaW5QAAABABAAAPAAAAAAAA&#13;&#10;AAAAAAAAAIoEAABkcnMvZG93bnJldi54bWxQSwUGAAAAAAQABADzAAAAnAUAAAAA&#13;&#10;" filled="f" stroked="f" strokeweight=".5pt">
                <v:textbox>
                  <w:txbxContent>
                    <w:p w:rsidR="002401D5" w:rsidRPr="004467F4" w:rsidRDefault="002401D5" w:rsidP="002401D5">
                      <w:pPr>
                        <w:jc w:val="center"/>
                        <w:rPr>
                          <w:b/>
                          <w:bCs/>
                          <w:color w:val="000000"/>
                          <w14:textOutline w14:w="9525" w14:cap="rnd" w14:cmpd="sng" w14:algn="ctr">
                            <w14:noFill/>
                            <w14:prstDash w14:val="solid"/>
                            <w14:bevel/>
                          </w14:textOutline>
                          <w14:textFill>
                            <w14:solidFill>
                              <w14:srgbClr w14:val="000000">
                                <w14:alpha w14:val="1000"/>
                              </w14:srgbClr>
                            </w14:solidFill>
                          </w14:textFill>
                        </w:rPr>
                      </w:pPr>
                      <w:r w:rsidRPr="004B0DAD">
                        <w:rPr>
                          <w:rFonts w:cs="Arial"/>
                          <w:b/>
                          <w:bCs/>
                        </w:rPr>
                        <w:t>All other potential donors</w:t>
                      </w:r>
                    </w:p>
                  </w:txbxContent>
                </v:textbox>
              </v:shape>
            </w:pict>
          </mc:Fallback>
        </mc:AlternateContent>
      </w:r>
      <w:r w:rsidRPr="00426E7D">
        <w:rPr>
          <w:rFonts w:cs="Arial"/>
          <w:noProof/>
        </w:rPr>
        <w:drawing>
          <wp:anchor distT="0" distB="0" distL="114300" distR="114300" simplePos="0" relativeHeight="251663360" behindDoc="1" locked="0" layoutInCell="1" allowOverlap="1" wp14:anchorId="69D20D76" wp14:editId="3A5B4C32">
            <wp:simplePos x="0" y="0"/>
            <wp:positionH relativeFrom="column">
              <wp:posOffset>18208</wp:posOffset>
            </wp:positionH>
            <wp:positionV relativeFrom="paragraph">
              <wp:posOffset>615821</wp:posOffset>
            </wp:positionV>
            <wp:extent cx="5800725" cy="4834722"/>
            <wp:effectExtent l="12700" t="0" r="28575" b="17145"/>
            <wp:wrapNone/>
            <wp:docPr id="30761" name="Diagram 307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b/>
          <w:bCs/>
          <w:color w:val="2F5496" w:themeColor="accent1" w:themeShade="BF"/>
          <w:sz w:val="32"/>
          <w:szCs w:val="32"/>
        </w:rPr>
        <w:t xml:space="preserve">OSS </w:t>
      </w:r>
      <w:r w:rsidRPr="006A02BC">
        <w:rPr>
          <w:b/>
          <w:bCs/>
          <w:color w:val="2F5496" w:themeColor="accent1" w:themeShade="BF"/>
          <w:sz w:val="32"/>
          <w:szCs w:val="32"/>
        </w:rPr>
        <w:t>Fun</w:t>
      </w:r>
      <w:r>
        <w:rPr>
          <w:b/>
          <w:bCs/>
          <w:color w:val="2F5496" w:themeColor="accent1" w:themeShade="BF"/>
          <w:sz w:val="32"/>
          <w:szCs w:val="32"/>
        </w:rPr>
        <w:t>d</w:t>
      </w:r>
      <w:r w:rsidRPr="006A02BC">
        <w:rPr>
          <w:b/>
          <w:bCs/>
          <w:color w:val="2F5496" w:themeColor="accent1" w:themeShade="BF"/>
          <w:sz w:val="32"/>
          <w:szCs w:val="32"/>
        </w:rPr>
        <w:t>raising Pyramid for £</w:t>
      </w:r>
      <w:r>
        <w:rPr>
          <w:b/>
          <w:bCs/>
          <w:color w:val="2F5496" w:themeColor="accent1" w:themeShade="BF"/>
          <w:sz w:val="32"/>
          <w:szCs w:val="32"/>
        </w:rPr>
        <w:t>3</w:t>
      </w:r>
      <w:r w:rsidRPr="006A02BC">
        <w:rPr>
          <w:b/>
          <w:bCs/>
          <w:color w:val="2F5496" w:themeColor="accent1" w:themeShade="BF"/>
          <w:sz w:val="32"/>
          <w:szCs w:val="32"/>
        </w:rPr>
        <w:t xml:space="preserve">00k – concluding </w:t>
      </w:r>
      <w:r>
        <w:rPr>
          <w:b/>
          <w:bCs/>
          <w:color w:val="2F5496" w:themeColor="accent1" w:themeShade="BF"/>
          <w:sz w:val="32"/>
          <w:szCs w:val="32"/>
        </w:rPr>
        <w:t xml:space="preserve">calendar year </w:t>
      </w:r>
      <w:r w:rsidRPr="006A02BC">
        <w:rPr>
          <w:b/>
          <w:bCs/>
          <w:color w:val="2F5496" w:themeColor="accent1" w:themeShade="BF"/>
          <w:sz w:val="32"/>
          <w:szCs w:val="32"/>
        </w:rPr>
        <w:t>end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4111"/>
        <w:gridCol w:w="2835"/>
        <w:gridCol w:w="2268"/>
        <w:gridCol w:w="1417"/>
      </w:tblGrid>
      <w:tr w:rsidR="002401D5" w:rsidRPr="00426E7D" w:rsidTr="00D36196">
        <w:trPr>
          <w:trHeight w:val="671"/>
        </w:trPr>
        <w:tc>
          <w:tcPr>
            <w:tcW w:w="1242" w:type="dxa"/>
            <w:vAlign w:val="center"/>
          </w:tcPr>
          <w:p w:rsidR="002401D5" w:rsidRDefault="002401D5" w:rsidP="00D36196">
            <w:pPr>
              <w:jc w:val="center"/>
              <w:rPr>
                <w:rFonts w:eastAsiaTheme="minorEastAsia" w:cs="Arial"/>
                <w:b/>
                <w:bCs/>
              </w:rPr>
            </w:pPr>
          </w:p>
          <w:p w:rsidR="002401D5" w:rsidRDefault="002401D5" w:rsidP="00D36196">
            <w:pPr>
              <w:jc w:val="center"/>
              <w:rPr>
                <w:rFonts w:eastAsiaTheme="minorEastAsia" w:cs="Arial"/>
                <w:b/>
                <w:bCs/>
              </w:rPr>
            </w:pPr>
          </w:p>
          <w:p w:rsidR="002401D5" w:rsidRPr="00426E7D" w:rsidRDefault="002401D5" w:rsidP="00D36196">
            <w:pPr>
              <w:jc w:val="center"/>
              <w:rPr>
                <w:rFonts w:eastAsiaTheme="minorEastAsia" w:cs="Arial"/>
                <w:b/>
                <w:bCs/>
              </w:rPr>
            </w:pPr>
            <w:r w:rsidRPr="00426E7D">
              <w:rPr>
                <w:rFonts w:eastAsiaTheme="minorEastAsia" w:cs="Arial"/>
                <w:b/>
                <w:bCs/>
              </w:rPr>
              <w:t>Target</w:t>
            </w:r>
          </w:p>
        </w:tc>
        <w:tc>
          <w:tcPr>
            <w:tcW w:w="1418" w:type="dxa"/>
            <w:vAlign w:val="center"/>
          </w:tcPr>
          <w:p w:rsidR="002401D5" w:rsidRDefault="002401D5" w:rsidP="00D36196">
            <w:pPr>
              <w:jc w:val="center"/>
              <w:rPr>
                <w:rFonts w:eastAsiaTheme="minorEastAsia" w:cs="Arial"/>
                <w:b/>
                <w:bCs/>
              </w:rPr>
            </w:pPr>
          </w:p>
          <w:p w:rsidR="002401D5" w:rsidRDefault="002401D5" w:rsidP="00D36196">
            <w:pPr>
              <w:jc w:val="center"/>
              <w:rPr>
                <w:rFonts w:eastAsiaTheme="minorEastAsia" w:cs="Arial"/>
                <w:b/>
                <w:bCs/>
              </w:rPr>
            </w:pPr>
          </w:p>
          <w:p w:rsidR="002401D5" w:rsidRPr="00426E7D" w:rsidRDefault="002401D5" w:rsidP="00D36196">
            <w:pPr>
              <w:jc w:val="center"/>
              <w:rPr>
                <w:rFonts w:eastAsiaTheme="minorEastAsia" w:cs="Arial"/>
                <w:b/>
                <w:bCs/>
              </w:rPr>
            </w:pPr>
            <w:r w:rsidRPr="00426E7D">
              <w:rPr>
                <w:rFonts w:eastAsiaTheme="minorEastAsia" w:cs="Arial"/>
                <w:b/>
                <w:bCs/>
              </w:rPr>
              <w:t>Cumulative</w:t>
            </w:r>
          </w:p>
        </w:tc>
        <w:tc>
          <w:tcPr>
            <w:tcW w:w="4111" w:type="dxa"/>
            <w:vAlign w:val="center"/>
          </w:tcPr>
          <w:p w:rsidR="002401D5" w:rsidRPr="00426E7D" w:rsidRDefault="002401D5" w:rsidP="00D36196">
            <w:pPr>
              <w:jc w:val="center"/>
              <w:rPr>
                <w:rFonts w:eastAsiaTheme="minorEastAsia" w:cs="Arial"/>
                <w:b/>
                <w:bCs/>
              </w:rPr>
            </w:pPr>
          </w:p>
        </w:tc>
        <w:tc>
          <w:tcPr>
            <w:tcW w:w="2835" w:type="dxa"/>
            <w:vAlign w:val="center"/>
          </w:tcPr>
          <w:p w:rsidR="002401D5" w:rsidRDefault="002401D5" w:rsidP="00D36196">
            <w:pPr>
              <w:rPr>
                <w:rFonts w:eastAsiaTheme="minorEastAsia" w:cs="Arial"/>
                <w:b/>
                <w:bCs/>
              </w:rPr>
            </w:pPr>
          </w:p>
          <w:p w:rsidR="002401D5" w:rsidRDefault="002401D5" w:rsidP="00D36196">
            <w:pPr>
              <w:rPr>
                <w:rFonts w:eastAsiaTheme="minorEastAsia" w:cs="Arial"/>
                <w:b/>
                <w:bCs/>
              </w:rPr>
            </w:pPr>
          </w:p>
          <w:p w:rsidR="002401D5" w:rsidRPr="00426E7D" w:rsidRDefault="002401D5" w:rsidP="00D36196">
            <w:pPr>
              <w:rPr>
                <w:rFonts w:eastAsiaTheme="minorEastAsia" w:cs="Arial"/>
                <w:b/>
                <w:bCs/>
              </w:rPr>
            </w:pPr>
            <w:r w:rsidRPr="00426E7D">
              <w:rPr>
                <w:rFonts w:eastAsiaTheme="minorEastAsia" w:cs="Arial"/>
                <w:b/>
                <w:bCs/>
              </w:rPr>
              <w:t>Potential prospects</w:t>
            </w:r>
          </w:p>
        </w:tc>
        <w:tc>
          <w:tcPr>
            <w:tcW w:w="2268" w:type="dxa"/>
            <w:vAlign w:val="center"/>
          </w:tcPr>
          <w:p w:rsidR="002401D5" w:rsidRDefault="002401D5" w:rsidP="00D36196">
            <w:pPr>
              <w:rPr>
                <w:rFonts w:eastAsiaTheme="minorEastAsia" w:cs="Arial"/>
                <w:b/>
                <w:bCs/>
              </w:rPr>
            </w:pPr>
            <w:r w:rsidRPr="00426E7D">
              <w:rPr>
                <w:b/>
                <w:bCs/>
                <w:noProof/>
                <w:sz w:val="32"/>
                <w:szCs w:val="32"/>
              </w:rPr>
              <w:lastRenderedPageBreak/>
              <mc:AlternateContent>
                <mc:Choice Requires="wps">
                  <w:drawing>
                    <wp:anchor distT="45720" distB="45720" distL="114300" distR="114300" simplePos="0" relativeHeight="251664384" behindDoc="1" locked="0" layoutInCell="1" allowOverlap="1" wp14:anchorId="5B86FC52" wp14:editId="648AADAE">
                      <wp:simplePos x="0" y="0"/>
                      <wp:positionH relativeFrom="column">
                        <wp:posOffset>-6001385</wp:posOffset>
                      </wp:positionH>
                      <wp:positionV relativeFrom="paragraph">
                        <wp:posOffset>31750</wp:posOffset>
                      </wp:positionV>
                      <wp:extent cx="8493760" cy="77216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760" cy="772160"/>
                              </a:xfrm>
                              <a:prstGeom prst="rect">
                                <a:avLst/>
                              </a:prstGeom>
                              <a:solidFill>
                                <a:srgbClr val="FFFFFF"/>
                              </a:solidFill>
                              <a:ln w="9525">
                                <a:noFill/>
                                <a:miter lim="800000"/>
                                <a:headEnd/>
                                <a:tailEnd/>
                              </a:ln>
                            </wps:spPr>
                            <wps:txbx>
                              <w:txbxContent>
                                <w:p w:rsidR="002401D5" w:rsidRPr="00782835" w:rsidRDefault="002401D5" w:rsidP="002401D5">
                                  <w:pPr>
                                    <w:pStyle w:val="NormalWeb"/>
                                    <w:kinsoku w:val="0"/>
                                    <w:overflowPunct w:val="0"/>
                                    <w:spacing w:before="0" w:beforeAutospacing="0" w:after="0" w:afterAutospacing="0"/>
                                    <w:jc w:val="center"/>
                                    <w:textAlignment w:val="baseline"/>
                                    <w:rPr>
                                      <w:rFonts w:asciiTheme="majorHAnsi" w:hAnsiTheme="majorHAnsi" w:cstheme="majorHAnsi"/>
                                      <w:color w:val="FF0000"/>
                                      <w:sz w:val="22"/>
                                      <w:szCs w:val="22"/>
                                    </w:rPr>
                                  </w:pPr>
                                  <w:r w:rsidRPr="00782835">
                                    <w:rPr>
                                      <w:rFonts w:asciiTheme="majorHAnsi" w:eastAsia="MS PGothic" w:hAnsiTheme="majorHAnsi" w:cstheme="majorHAnsi"/>
                                      <w:b/>
                                      <w:bCs/>
                                      <w:color w:val="FF0000"/>
                                      <w:kern w:val="24"/>
                                      <w:sz w:val="22"/>
                                      <w:szCs w:val="22"/>
                                    </w:rPr>
                                    <w:t>GROSS TARGET: £300,000</w:t>
                                  </w:r>
                                  <w:r>
                                    <w:rPr>
                                      <w:rFonts w:asciiTheme="majorHAnsi" w:eastAsia="MS PGothic" w:hAnsiTheme="majorHAnsi" w:cstheme="majorHAnsi"/>
                                      <w:b/>
                                      <w:bCs/>
                                      <w:color w:val="FF0000"/>
                                      <w:kern w:val="24"/>
                                      <w:sz w:val="22"/>
                                      <w:szCs w:val="22"/>
                                    </w:rPr>
                                    <w:tab/>
                                  </w:r>
                                  <w:r>
                                    <w:rPr>
                                      <w:rFonts w:asciiTheme="majorHAnsi" w:eastAsia="MS PGothic" w:hAnsiTheme="majorHAnsi" w:cstheme="majorHAnsi"/>
                                      <w:b/>
                                      <w:bCs/>
                                      <w:color w:val="FF0000"/>
                                      <w:kern w:val="24"/>
                                      <w:sz w:val="22"/>
                                      <w:szCs w:val="22"/>
                                    </w:rPr>
                                    <w:tab/>
                                  </w:r>
                                  <w:r>
                                    <w:rPr>
                                      <w:rFonts w:asciiTheme="majorHAnsi" w:eastAsia="MS PGothic" w:hAnsiTheme="majorHAnsi" w:cstheme="majorHAnsi"/>
                                      <w:b/>
                                      <w:bCs/>
                                      <w:color w:val="FF0000"/>
                                      <w:kern w:val="24"/>
                                      <w:sz w:val="22"/>
                                      <w:szCs w:val="22"/>
                                    </w:rPr>
                                    <w:tab/>
                                  </w:r>
                                  <w:r w:rsidRPr="00782835">
                                    <w:rPr>
                                      <w:rFonts w:asciiTheme="majorHAnsi" w:eastAsia="MS PGothic" w:hAnsiTheme="majorHAnsi" w:cstheme="majorHAnsi"/>
                                      <w:b/>
                                      <w:bCs/>
                                      <w:color w:val="FF0000"/>
                                      <w:kern w:val="24"/>
                                      <w:sz w:val="22"/>
                                      <w:szCs w:val="22"/>
                                    </w:rPr>
                                    <w:t>RECEIVED/PLEDGED: £1</w:t>
                                  </w:r>
                                  <w:r>
                                    <w:rPr>
                                      <w:rFonts w:asciiTheme="majorHAnsi" w:eastAsia="MS PGothic" w:hAnsiTheme="majorHAnsi" w:cstheme="majorHAnsi"/>
                                      <w:b/>
                                      <w:bCs/>
                                      <w:color w:val="FF0000"/>
                                      <w:kern w:val="24"/>
                                      <w:sz w:val="22"/>
                                      <w:szCs w:val="22"/>
                                    </w:rPr>
                                    <w:t>26</w:t>
                                  </w:r>
                                  <w:r w:rsidRPr="00782835">
                                    <w:rPr>
                                      <w:rFonts w:asciiTheme="majorHAnsi" w:eastAsia="MS PGothic" w:hAnsiTheme="majorHAnsi" w:cstheme="majorHAnsi"/>
                                      <w:b/>
                                      <w:bCs/>
                                      <w:color w:val="FF0000"/>
                                      <w:kern w:val="24"/>
                                      <w:sz w:val="22"/>
                                      <w:szCs w:val="22"/>
                                    </w:rPr>
                                    <w:t>,</w:t>
                                  </w:r>
                                  <w:r>
                                    <w:rPr>
                                      <w:rFonts w:asciiTheme="majorHAnsi" w:eastAsia="MS PGothic" w:hAnsiTheme="majorHAnsi" w:cstheme="majorHAnsi"/>
                                      <w:b/>
                                      <w:bCs/>
                                      <w:color w:val="FF0000"/>
                                      <w:kern w:val="24"/>
                                      <w:sz w:val="22"/>
                                      <w:szCs w:val="22"/>
                                    </w:rPr>
                                    <w:t>90</w:t>
                                  </w:r>
                                  <w:r w:rsidRPr="00782835">
                                    <w:rPr>
                                      <w:rFonts w:asciiTheme="majorHAnsi" w:eastAsia="MS PGothic" w:hAnsiTheme="majorHAnsi" w:cstheme="majorHAnsi"/>
                                      <w:b/>
                                      <w:bCs/>
                                      <w:color w:val="FF0000"/>
                                      <w:kern w:val="24"/>
                                      <w:sz w:val="22"/>
                                      <w:szCs w:val="22"/>
                                    </w:rPr>
                                    <w:t>0</w:t>
                                  </w:r>
                                  <w:r>
                                    <w:rPr>
                                      <w:rFonts w:asciiTheme="majorHAnsi" w:hAnsiTheme="majorHAnsi" w:cstheme="majorHAnsi"/>
                                      <w:color w:val="FF0000"/>
                                      <w:sz w:val="22"/>
                                      <w:szCs w:val="22"/>
                                    </w:rPr>
                                    <w:tab/>
                                  </w:r>
                                  <w:r>
                                    <w:rPr>
                                      <w:rFonts w:asciiTheme="majorHAnsi" w:hAnsiTheme="majorHAnsi" w:cstheme="majorHAnsi"/>
                                      <w:color w:val="FF0000"/>
                                      <w:sz w:val="22"/>
                                      <w:szCs w:val="22"/>
                                    </w:rPr>
                                    <w:tab/>
                                  </w:r>
                                  <w:r>
                                    <w:rPr>
                                      <w:rFonts w:asciiTheme="majorHAnsi" w:hAnsiTheme="majorHAnsi" w:cstheme="majorHAnsi"/>
                                      <w:color w:val="FF0000"/>
                                      <w:sz w:val="22"/>
                                      <w:szCs w:val="22"/>
                                    </w:rPr>
                                    <w:tab/>
                                  </w:r>
                                  <w:r w:rsidRPr="00782835">
                                    <w:rPr>
                                      <w:rFonts w:asciiTheme="majorHAnsi" w:eastAsia="MS PGothic" w:hAnsiTheme="majorHAnsi" w:cstheme="majorHAnsi"/>
                                      <w:b/>
                                      <w:bCs/>
                                      <w:color w:val="FF0000"/>
                                      <w:kern w:val="24"/>
                                      <w:sz w:val="22"/>
                                      <w:szCs w:val="22"/>
                                    </w:rPr>
                                    <w:t>NET TARGET: £1</w:t>
                                  </w:r>
                                  <w:r>
                                    <w:rPr>
                                      <w:rFonts w:asciiTheme="majorHAnsi" w:eastAsia="MS PGothic" w:hAnsiTheme="majorHAnsi" w:cstheme="majorHAnsi"/>
                                      <w:b/>
                                      <w:bCs/>
                                      <w:color w:val="FF0000"/>
                                      <w:kern w:val="24"/>
                                      <w:sz w:val="22"/>
                                      <w:szCs w:val="22"/>
                                    </w:rPr>
                                    <w:t>73</w:t>
                                  </w:r>
                                  <w:r w:rsidRPr="00782835">
                                    <w:rPr>
                                      <w:rFonts w:asciiTheme="majorHAnsi" w:eastAsia="MS PGothic" w:hAnsiTheme="majorHAnsi" w:cstheme="majorHAnsi"/>
                                      <w:b/>
                                      <w:bCs/>
                                      <w:color w:val="FF0000"/>
                                      <w:kern w:val="24"/>
                                      <w:sz w:val="22"/>
                                      <w:szCs w:val="22"/>
                                    </w:rPr>
                                    <w:t>,</w:t>
                                  </w:r>
                                  <w:r>
                                    <w:rPr>
                                      <w:rFonts w:asciiTheme="majorHAnsi" w:eastAsia="MS PGothic" w:hAnsiTheme="majorHAnsi" w:cstheme="majorHAnsi"/>
                                      <w:b/>
                                      <w:bCs/>
                                      <w:color w:val="FF0000"/>
                                      <w:kern w:val="24"/>
                                      <w:sz w:val="22"/>
                                      <w:szCs w:val="22"/>
                                    </w:rPr>
                                    <w:t>10</w:t>
                                  </w:r>
                                  <w:r w:rsidRPr="00782835">
                                    <w:rPr>
                                      <w:rFonts w:asciiTheme="majorHAnsi" w:eastAsia="MS PGothic" w:hAnsiTheme="majorHAnsi" w:cstheme="majorHAnsi"/>
                                      <w:b/>
                                      <w:bCs/>
                                      <w:color w:val="FF0000"/>
                                      <w:kern w:val="24"/>
                                      <w:sz w:val="22"/>
                                      <w:szCs w:val="22"/>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86FC52" id="Text Box 2" o:spid="_x0000_s1030" type="#_x0000_t202" style="position:absolute;margin-left:-472.55pt;margin-top:2.5pt;width:668.8pt;height:60.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VAeIgIAACQEAAAOAAAAZHJzL2Uyb0RvYy54bWysU81u2zAMvg/YOwi6L068pGmMOEWXLsOA&#13;&#10;7gdo9wC0LMfCZFGTlNjd04+S0zTbbsN0EEiR/ER+JNc3Q6fZUTqv0JR8NplyJo3AWpl9yb897t5c&#13;&#10;c+YDmBo0GlnyJ+n5zeb1q3VvC5lji7qWjhGI8UVvS96GYIss86KVHfgJWmnI2KDrIJDq9lntoCf0&#13;&#10;Tmf5dHqV9ehq61BI7+n1bjTyTcJvGinCl6bxMjBdcsotpNulu4p3tllDsXdgWyVOacA/ZNGBMvTp&#13;&#10;GeoOArCDU39BdUo49NiEicAuw6ZRQqYaqJrZ9I9qHlqwMtVC5Hh7psn/P1jx+fjVMVWXPJ8tOTPQ&#13;&#10;UZMe5RDYOxxYHvnprS/I7cGSYxjomfqcavX2HsV3zwxuWzB7eesc9q2EmvKbxcjsInTE8RGk6j9h&#13;&#10;Td/AIWACGhrXRfKIDkbo1Kenc29iKoIer+ert8srMgmyLZf5jOT4BRTP0db58EFix6JQcke9T+hw&#13;&#10;vPdhdH12iZ951KreKa2T4vbVVjt2BJqTXTon9N/ctGF9yVeLfJGQDcZ4goaiU4HmWKuOMp3GE8Oh&#13;&#10;iGy8N3WSAyg9ypS0Nid6IiMjN2GohtSJeYyN1FVYPxFfDsexpTUjoUX3k7OeRrbk/scBnORMfzTE&#13;&#10;+Wo2n8cZT8p8scxJcZeW6tICRhBUyQNno7gNaS8SHfaWerNTibaXTE4p0ygm4k9rE2f9Uk9eL8u9&#13;&#10;+QUAAP//AwBQSwMEFAAGAAgAAAAhAAsZ8LrjAAAADwEAAA8AAABkcnMvZG93bnJldi54bWxMj01P&#13;&#10;g0AQhu8m/ofNmHhrF1BIS1kao/FierDVQ49TGFmE3UV2afHfO570Mslknnk/iu1senGm0bfOKoiX&#13;&#10;EQiylatb2yh4f3terED4gLbG3llS8E0etuX1VYF57S52T+dDaASLWJ+jAh3CkEvpK00G/dINZPn2&#13;&#10;4UaDgdexkfWIFxY3vUyiKJMGW8sOGgd61FR1h8mwyc5X0959fca7Th51l2H6ql+Uur2ZnzY8HjYg&#13;&#10;As3h7wN+O3B+KDnYyU229qJXsFjfpzGzClIuxsDdOklBnJhMsgxkWcj/PcofAAAA//8DAFBLAQIt&#13;&#10;ABQABgAIAAAAIQC2gziS/gAAAOEBAAATAAAAAAAAAAAAAAAAAAAAAABbQ29udGVudF9UeXBlc10u&#13;&#10;eG1sUEsBAi0AFAAGAAgAAAAhADj9If/WAAAAlAEAAAsAAAAAAAAAAAAAAAAALwEAAF9yZWxzLy5y&#13;&#10;ZWxzUEsBAi0AFAAGAAgAAAAhAGI1UB4iAgAAJAQAAA4AAAAAAAAAAAAAAAAALgIAAGRycy9lMm9E&#13;&#10;b2MueG1sUEsBAi0AFAAGAAgAAAAhAAsZ8LrjAAAADwEAAA8AAAAAAAAAAAAAAAAAfAQAAGRycy9k&#13;&#10;b3ducmV2LnhtbFBLBQYAAAAABAAEAPMAAACMBQAAAAA=&#13;&#10;" stroked="f">
                      <v:textbox style="mso-fit-shape-to-text:t">
                        <w:txbxContent>
                          <w:p w:rsidR="002401D5" w:rsidRPr="00782835" w:rsidRDefault="002401D5" w:rsidP="002401D5">
                            <w:pPr>
                              <w:pStyle w:val="NormalWeb"/>
                              <w:kinsoku w:val="0"/>
                              <w:overflowPunct w:val="0"/>
                              <w:spacing w:before="0" w:beforeAutospacing="0" w:after="0" w:afterAutospacing="0"/>
                              <w:jc w:val="center"/>
                              <w:textAlignment w:val="baseline"/>
                              <w:rPr>
                                <w:rFonts w:asciiTheme="majorHAnsi" w:hAnsiTheme="majorHAnsi" w:cstheme="majorHAnsi"/>
                                <w:color w:val="FF0000"/>
                                <w:sz w:val="22"/>
                                <w:szCs w:val="22"/>
                              </w:rPr>
                            </w:pPr>
                            <w:r w:rsidRPr="00782835">
                              <w:rPr>
                                <w:rFonts w:asciiTheme="majorHAnsi" w:eastAsia="MS PGothic" w:hAnsiTheme="majorHAnsi" w:cstheme="majorHAnsi"/>
                                <w:b/>
                                <w:bCs/>
                                <w:color w:val="FF0000"/>
                                <w:kern w:val="24"/>
                                <w:sz w:val="22"/>
                                <w:szCs w:val="22"/>
                              </w:rPr>
                              <w:t>GROSS TARGET: £300,000</w:t>
                            </w:r>
                            <w:r>
                              <w:rPr>
                                <w:rFonts w:asciiTheme="majorHAnsi" w:eastAsia="MS PGothic" w:hAnsiTheme="majorHAnsi" w:cstheme="majorHAnsi"/>
                                <w:b/>
                                <w:bCs/>
                                <w:color w:val="FF0000"/>
                                <w:kern w:val="24"/>
                                <w:sz w:val="22"/>
                                <w:szCs w:val="22"/>
                              </w:rPr>
                              <w:tab/>
                            </w:r>
                            <w:r>
                              <w:rPr>
                                <w:rFonts w:asciiTheme="majorHAnsi" w:eastAsia="MS PGothic" w:hAnsiTheme="majorHAnsi" w:cstheme="majorHAnsi"/>
                                <w:b/>
                                <w:bCs/>
                                <w:color w:val="FF0000"/>
                                <w:kern w:val="24"/>
                                <w:sz w:val="22"/>
                                <w:szCs w:val="22"/>
                              </w:rPr>
                              <w:tab/>
                            </w:r>
                            <w:r>
                              <w:rPr>
                                <w:rFonts w:asciiTheme="majorHAnsi" w:eastAsia="MS PGothic" w:hAnsiTheme="majorHAnsi" w:cstheme="majorHAnsi"/>
                                <w:b/>
                                <w:bCs/>
                                <w:color w:val="FF0000"/>
                                <w:kern w:val="24"/>
                                <w:sz w:val="22"/>
                                <w:szCs w:val="22"/>
                              </w:rPr>
                              <w:tab/>
                            </w:r>
                            <w:r w:rsidRPr="00782835">
                              <w:rPr>
                                <w:rFonts w:asciiTheme="majorHAnsi" w:eastAsia="MS PGothic" w:hAnsiTheme="majorHAnsi" w:cstheme="majorHAnsi"/>
                                <w:b/>
                                <w:bCs/>
                                <w:color w:val="FF0000"/>
                                <w:kern w:val="24"/>
                                <w:sz w:val="22"/>
                                <w:szCs w:val="22"/>
                              </w:rPr>
                              <w:t>RECEIVED/PLEDGED: £1</w:t>
                            </w:r>
                            <w:r>
                              <w:rPr>
                                <w:rFonts w:asciiTheme="majorHAnsi" w:eastAsia="MS PGothic" w:hAnsiTheme="majorHAnsi" w:cstheme="majorHAnsi"/>
                                <w:b/>
                                <w:bCs/>
                                <w:color w:val="FF0000"/>
                                <w:kern w:val="24"/>
                                <w:sz w:val="22"/>
                                <w:szCs w:val="22"/>
                              </w:rPr>
                              <w:t>26</w:t>
                            </w:r>
                            <w:r w:rsidRPr="00782835">
                              <w:rPr>
                                <w:rFonts w:asciiTheme="majorHAnsi" w:eastAsia="MS PGothic" w:hAnsiTheme="majorHAnsi" w:cstheme="majorHAnsi"/>
                                <w:b/>
                                <w:bCs/>
                                <w:color w:val="FF0000"/>
                                <w:kern w:val="24"/>
                                <w:sz w:val="22"/>
                                <w:szCs w:val="22"/>
                              </w:rPr>
                              <w:t>,</w:t>
                            </w:r>
                            <w:r>
                              <w:rPr>
                                <w:rFonts w:asciiTheme="majorHAnsi" w:eastAsia="MS PGothic" w:hAnsiTheme="majorHAnsi" w:cstheme="majorHAnsi"/>
                                <w:b/>
                                <w:bCs/>
                                <w:color w:val="FF0000"/>
                                <w:kern w:val="24"/>
                                <w:sz w:val="22"/>
                                <w:szCs w:val="22"/>
                              </w:rPr>
                              <w:t>90</w:t>
                            </w:r>
                            <w:r w:rsidRPr="00782835">
                              <w:rPr>
                                <w:rFonts w:asciiTheme="majorHAnsi" w:eastAsia="MS PGothic" w:hAnsiTheme="majorHAnsi" w:cstheme="majorHAnsi"/>
                                <w:b/>
                                <w:bCs/>
                                <w:color w:val="FF0000"/>
                                <w:kern w:val="24"/>
                                <w:sz w:val="22"/>
                                <w:szCs w:val="22"/>
                              </w:rPr>
                              <w:t>0</w:t>
                            </w:r>
                            <w:r>
                              <w:rPr>
                                <w:rFonts w:asciiTheme="majorHAnsi" w:hAnsiTheme="majorHAnsi" w:cstheme="majorHAnsi"/>
                                <w:color w:val="FF0000"/>
                                <w:sz w:val="22"/>
                                <w:szCs w:val="22"/>
                              </w:rPr>
                              <w:tab/>
                            </w:r>
                            <w:r>
                              <w:rPr>
                                <w:rFonts w:asciiTheme="majorHAnsi" w:hAnsiTheme="majorHAnsi" w:cstheme="majorHAnsi"/>
                                <w:color w:val="FF0000"/>
                                <w:sz w:val="22"/>
                                <w:szCs w:val="22"/>
                              </w:rPr>
                              <w:tab/>
                            </w:r>
                            <w:r>
                              <w:rPr>
                                <w:rFonts w:asciiTheme="majorHAnsi" w:hAnsiTheme="majorHAnsi" w:cstheme="majorHAnsi"/>
                                <w:color w:val="FF0000"/>
                                <w:sz w:val="22"/>
                                <w:szCs w:val="22"/>
                              </w:rPr>
                              <w:tab/>
                            </w:r>
                            <w:r w:rsidRPr="00782835">
                              <w:rPr>
                                <w:rFonts w:asciiTheme="majorHAnsi" w:eastAsia="MS PGothic" w:hAnsiTheme="majorHAnsi" w:cstheme="majorHAnsi"/>
                                <w:b/>
                                <w:bCs/>
                                <w:color w:val="FF0000"/>
                                <w:kern w:val="24"/>
                                <w:sz w:val="22"/>
                                <w:szCs w:val="22"/>
                              </w:rPr>
                              <w:t>NET TARGET: £1</w:t>
                            </w:r>
                            <w:r>
                              <w:rPr>
                                <w:rFonts w:asciiTheme="majorHAnsi" w:eastAsia="MS PGothic" w:hAnsiTheme="majorHAnsi" w:cstheme="majorHAnsi"/>
                                <w:b/>
                                <w:bCs/>
                                <w:color w:val="FF0000"/>
                                <w:kern w:val="24"/>
                                <w:sz w:val="22"/>
                                <w:szCs w:val="22"/>
                              </w:rPr>
                              <w:t>73</w:t>
                            </w:r>
                            <w:r w:rsidRPr="00782835">
                              <w:rPr>
                                <w:rFonts w:asciiTheme="majorHAnsi" w:eastAsia="MS PGothic" w:hAnsiTheme="majorHAnsi" w:cstheme="majorHAnsi"/>
                                <w:b/>
                                <w:bCs/>
                                <w:color w:val="FF0000"/>
                                <w:kern w:val="24"/>
                                <w:sz w:val="22"/>
                                <w:szCs w:val="22"/>
                              </w:rPr>
                              <w:t>,</w:t>
                            </w:r>
                            <w:r>
                              <w:rPr>
                                <w:rFonts w:asciiTheme="majorHAnsi" w:eastAsia="MS PGothic" w:hAnsiTheme="majorHAnsi" w:cstheme="majorHAnsi"/>
                                <w:b/>
                                <w:bCs/>
                                <w:color w:val="FF0000"/>
                                <w:kern w:val="24"/>
                                <w:sz w:val="22"/>
                                <w:szCs w:val="22"/>
                              </w:rPr>
                              <w:t>10</w:t>
                            </w:r>
                            <w:r w:rsidRPr="00782835">
                              <w:rPr>
                                <w:rFonts w:asciiTheme="majorHAnsi" w:eastAsia="MS PGothic" w:hAnsiTheme="majorHAnsi" w:cstheme="majorHAnsi"/>
                                <w:b/>
                                <w:bCs/>
                                <w:color w:val="FF0000"/>
                                <w:kern w:val="24"/>
                                <w:sz w:val="22"/>
                                <w:szCs w:val="22"/>
                              </w:rPr>
                              <w:t>0</w:t>
                            </w:r>
                          </w:p>
                        </w:txbxContent>
                      </v:textbox>
                    </v:shape>
                  </w:pict>
                </mc:Fallback>
              </mc:AlternateContent>
            </w:r>
          </w:p>
          <w:p w:rsidR="002401D5" w:rsidRDefault="002401D5" w:rsidP="00D36196">
            <w:pPr>
              <w:rPr>
                <w:rFonts w:eastAsiaTheme="minorEastAsia" w:cs="Arial"/>
                <w:b/>
                <w:bCs/>
              </w:rPr>
            </w:pPr>
          </w:p>
          <w:p w:rsidR="002401D5" w:rsidRPr="00426E7D" w:rsidRDefault="002401D5" w:rsidP="00D36196">
            <w:pPr>
              <w:rPr>
                <w:rFonts w:eastAsiaTheme="minorEastAsia" w:cs="Arial"/>
                <w:b/>
                <w:bCs/>
              </w:rPr>
            </w:pPr>
            <w:r w:rsidRPr="00426E7D">
              <w:rPr>
                <w:rFonts w:eastAsiaTheme="minorEastAsia" w:cs="Arial"/>
                <w:b/>
                <w:bCs/>
              </w:rPr>
              <w:t>Pledged/Received</w:t>
            </w:r>
          </w:p>
        </w:tc>
        <w:tc>
          <w:tcPr>
            <w:tcW w:w="1417" w:type="dxa"/>
            <w:vAlign w:val="center"/>
          </w:tcPr>
          <w:p w:rsidR="002401D5" w:rsidRDefault="002401D5" w:rsidP="00D36196">
            <w:pPr>
              <w:jc w:val="center"/>
              <w:rPr>
                <w:rFonts w:eastAsia="MS PGothic" w:cs="Arial"/>
                <w:b/>
                <w:bCs/>
                <w:kern w:val="24"/>
              </w:rPr>
            </w:pPr>
          </w:p>
          <w:p w:rsidR="002401D5" w:rsidRDefault="002401D5" w:rsidP="00D36196">
            <w:pPr>
              <w:jc w:val="center"/>
              <w:rPr>
                <w:rFonts w:eastAsia="MS PGothic" w:cs="Arial"/>
                <w:b/>
                <w:bCs/>
                <w:kern w:val="24"/>
              </w:rPr>
            </w:pPr>
          </w:p>
          <w:p w:rsidR="002401D5" w:rsidRPr="004B0DAD" w:rsidRDefault="002401D5" w:rsidP="00D36196">
            <w:pPr>
              <w:jc w:val="center"/>
              <w:rPr>
                <w:rFonts w:eastAsia="MS PGothic" w:cs="Arial"/>
                <w:b/>
                <w:bCs/>
                <w:kern w:val="24"/>
              </w:rPr>
            </w:pPr>
            <w:r w:rsidRPr="004B0DAD">
              <w:rPr>
                <w:rFonts w:eastAsia="MS PGothic" w:cs="Arial"/>
                <w:b/>
                <w:bCs/>
                <w:kern w:val="24"/>
              </w:rPr>
              <w:t>Net Target</w:t>
            </w:r>
          </w:p>
        </w:tc>
      </w:tr>
      <w:tr w:rsidR="002401D5" w:rsidRPr="00426E7D" w:rsidTr="00D36196">
        <w:trPr>
          <w:trHeight w:val="992"/>
        </w:trPr>
        <w:tc>
          <w:tcPr>
            <w:tcW w:w="1242" w:type="dxa"/>
            <w:vAlign w:val="center"/>
          </w:tcPr>
          <w:p w:rsidR="002401D5" w:rsidRPr="00426E7D" w:rsidRDefault="002401D5" w:rsidP="00D36196">
            <w:pPr>
              <w:jc w:val="center"/>
              <w:rPr>
                <w:rFonts w:eastAsiaTheme="minorEastAsia" w:cs="Arial"/>
              </w:rPr>
            </w:pPr>
            <w:r w:rsidRPr="00426E7D">
              <w:rPr>
                <w:rFonts w:eastAsiaTheme="minorEastAsia" w:cs="Arial"/>
              </w:rPr>
              <w:lastRenderedPageBreak/>
              <w:t>100k</w:t>
            </w:r>
          </w:p>
        </w:tc>
        <w:tc>
          <w:tcPr>
            <w:tcW w:w="1418" w:type="dxa"/>
            <w:vAlign w:val="center"/>
          </w:tcPr>
          <w:p w:rsidR="002401D5" w:rsidRPr="00426E7D" w:rsidRDefault="002401D5" w:rsidP="00D36196">
            <w:pPr>
              <w:jc w:val="center"/>
              <w:rPr>
                <w:rFonts w:eastAsiaTheme="minorEastAsia" w:cs="Arial"/>
              </w:rPr>
            </w:pPr>
            <w:r w:rsidRPr="00426E7D">
              <w:rPr>
                <w:rFonts w:eastAsiaTheme="minorEastAsia" w:cs="Arial"/>
              </w:rPr>
              <w:t>100k</w:t>
            </w:r>
          </w:p>
        </w:tc>
        <w:tc>
          <w:tcPr>
            <w:tcW w:w="4111" w:type="dxa"/>
            <w:vAlign w:val="center"/>
          </w:tcPr>
          <w:p w:rsidR="002401D5" w:rsidRPr="004B0DAD" w:rsidRDefault="002401D5" w:rsidP="00D36196">
            <w:pPr>
              <w:jc w:val="center"/>
              <w:rPr>
                <w:rFonts w:eastAsiaTheme="minorEastAsia" w:cs="Arial"/>
                <w:b/>
                <w:bCs/>
              </w:rPr>
            </w:pPr>
            <w:r w:rsidRPr="004B0DAD">
              <w:rPr>
                <w:rFonts w:eastAsiaTheme="minorEastAsia" w:cs="Arial"/>
                <w:b/>
                <w:bCs/>
              </w:rPr>
              <w:t>2 @ 50k (8 prospects)</w:t>
            </w:r>
          </w:p>
        </w:tc>
        <w:tc>
          <w:tcPr>
            <w:tcW w:w="2835" w:type="dxa"/>
            <w:vAlign w:val="center"/>
          </w:tcPr>
          <w:p w:rsidR="002401D5" w:rsidRPr="004B0DAD" w:rsidRDefault="002401D5" w:rsidP="00D36196">
            <w:pPr>
              <w:rPr>
                <w:rFonts w:eastAsiaTheme="minorEastAsia" w:cs="Arial"/>
                <w:sz w:val="18"/>
                <w:szCs w:val="18"/>
              </w:rPr>
            </w:pPr>
            <w:r w:rsidRPr="004B0DAD">
              <w:rPr>
                <w:rFonts w:eastAsiaTheme="minorEastAsia" w:cs="Arial"/>
                <w:sz w:val="18"/>
                <w:szCs w:val="18"/>
              </w:rPr>
              <w:t xml:space="preserve">Fidelity, Ann Budge, </w:t>
            </w:r>
            <w:r>
              <w:rPr>
                <w:rFonts w:eastAsiaTheme="minorEastAsia" w:cs="Arial"/>
                <w:sz w:val="18"/>
                <w:szCs w:val="18"/>
              </w:rPr>
              <w:t xml:space="preserve">Brian </w:t>
            </w:r>
            <w:r w:rsidRPr="004B0DAD">
              <w:rPr>
                <w:rFonts w:eastAsiaTheme="minorEastAsia" w:cs="Arial"/>
                <w:sz w:val="18"/>
                <w:szCs w:val="18"/>
              </w:rPr>
              <w:t>Souter Brodies, Aegon, Martin Gilbert, Malcolm Offord</w:t>
            </w:r>
          </w:p>
        </w:tc>
        <w:tc>
          <w:tcPr>
            <w:tcW w:w="2268" w:type="dxa"/>
            <w:vAlign w:val="center"/>
          </w:tcPr>
          <w:p w:rsidR="002401D5" w:rsidRPr="004B0DAD" w:rsidRDefault="002401D5" w:rsidP="00D36196">
            <w:pPr>
              <w:rPr>
                <w:rFonts w:eastAsiaTheme="minorEastAsia" w:cs="Arial"/>
                <w:sz w:val="18"/>
                <w:szCs w:val="18"/>
              </w:rPr>
            </w:pPr>
            <w:r w:rsidRPr="004B0DAD">
              <w:rPr>
                <w:rFonts w:eastAsiaTheme="minorEastAsia" w:cs="Arial"/>
                <w:sz w:val="18"/>
                <w:szCs w:val="18"/>
              </w:rPr>
              <w:t xml:space="preserve">Aberdeen </w:t>
            </w:r>
            <w:r>
              <w:rPr>
                <w:rFonts w:eastAsiaTheme="minorEastAsia" w:cs="Arial"/>
                <w:sz w:val="18"/>
                <w:szCs w:val="18"/>
              </w:rPr>
              <w:t>37.5</w:t>
            </w:r>
            <w:r w:rsidRPr="004B0DAD">
              <w:rPr>
                <w:rFonts w:eastAsiaTheme="minorEastAsia" w:cs="Arial"/>
                <w:sz w:val="18"/>
                <w:szCs w:val="18"/>
              </w:rPr>
              <w:t>k</w:t>
            </w:r>
            <w:r>
              <w:rPr>
                <w:rFonts w:eastAsiaTheme="minorEastAsia" w:cs="Arial"/>
                <w:sz w:val="18"/>
                <w:szCs w:val="18"/>
              </w:rPr>
              <w:t>, TO’S 45k</w:t>
            </w:r>
          </w:p>
        </w:tc>
        <w:tc>
          <w:tcPr>
            <w:tcW w:w="1417" w:type="dxa"/>
            <w:vAlign w:val="center"/>
          </w:tcPr>
          <w:p w:rsidR="002401D5" w:rsidRPr="004B0DAD" w:rsidRDefault="002401D5" w:rsidP="00D36196">
            <w:pPr>
              <w:jc w:val="center"/>
              <w:rPr>
                <w:rFonts w:eastAsia="MS PGothic" w:cs="Arial"/>
                <w:b/>
                <w:bCs/>
                <w:kern w:val="24"/>
              </w:rPr>
            </w:pPr>
            <w:r w:rsidRPr="004B0DAD">
              <w:rPr>
                <w:rFonts w:eastAsia="MS PGothic" w:cs="Arial"/>
                <w:b/>
                <w:bCs/>
                <w:kern w:val="24"/>
              </w:rPr>
              <w:t>255k</w:t>
            </w:r>
          </w:p>
        </w:tc>
      </w:tr>
      <w:tr w:rsidR="002401D5" w:rsidRPr="00426E7D" w:rsidTr="00D36196">
        <w:trPr>
          <w:trHeight w:val="977"/>
        </w:trPr>
        <w:tc>
          <w:tcPr>
            <w:tcW w:w="1242" w:type="dxa"/>
            <w:vAlign w:val="center"/>
          </w:tcPr>
          <w:p w:rsidR="002401D5" w:rsidRPr="00426E7D" w:rsidRDefault="002401D5" w:rsidP="00D36196">
            <w:pPr>
              <w:jc w:val="center"/>
              <w:rPr>
                <w:rFonts w:eastAsiaTheme="minorEastAsia" w:cs="Arial"/>
              </w:rPr>
            </w:pPr>
            <w:r w:rsidRPr="00426E7D">
              <w:rPr>
                <w:rFonts w:eastAsiaTheme="minorEastAsia" w:cs="Arial"/>
              </w:rPr>
              <w:t>60k</w:t>
            </w:r>
          </w:p>
        </w:tc>
        <w:tc>
          <w:tcPr>
            <w:tcW w:w="1418" w:type="dxa"/>
            <w:vAlign w:val="center"/>
          </w:tcPr>
          <w:p w:rsidR="002401D5" w:rsidRPr="00426E7D" w:rsidRDefault="002401D5" w:rsidP="00D36196">
            <w:pPr>
              <w:jc w:val="center"/>
              <w:rPr>
                <w:rFonts w:eastAsiaTheme="minorEastAsia" w:cs="Arial"/>
              </w:rPr>
            </w:pPr>
            <w:r w:rsidRPr="00426E7D">
              <w:rPr>
                <w:rFonts w:eastAsiaTheme="minorEastAsia" w:cs="Arial"/>
              </w:rPr>
              <w:t>160k</w:t>
            </w:r>
          </w:p>
        </w:tc>
        <w:tc>
          <w:tcPr>
            <w:tcW w:w="4111" w:type="dxa"/>
            <w:vAlign w:val="center"/>
          </w:tcPr>
          <w:p w:rsidR="002401D5" w:rsidRPr="004B0DAD" w:rsidRDefault="002401D5" w:rsidP="00D36196">
            <w:pPr>
              <w:jc w:val="center"/>
              <w:rPr>
                <w:rFonts w:eastAsiaTheme="minorEastAsia" w:cs="Arial"/>
                <w:b/>
                <w:bCs/>
              </w:rPr>
            </w:pPr>
            <w:r w:rsidRPr="004B0DAD">
              <w:rPr>
                <w:rFonts w:eastAsiaTheme="minorEastAsia" w:cs="Arial"/>
                <w:b/>
                <w:bCs/>
              </w:rPr>
              <w:t>3 @ 20k (12 prospects)</w:t>
            </w:r>
          </w:p>
        </w:tc>
        <w:tc>
          <w:tcPr>
            <w:tcW w:w="2835" w:type="dxa"/>
            <w:vAlign w:val="center"/>
          </w:tcPr>
          <w:p w:rsidR="002401D5" w:rsidRPr="004B0DAD" w:rsidRDefault="002401D5" w:rsidP="00D36196">
            <w:pPr>
              <w:rPr>
                <w:rFonts w:eastAsiaTheme="minorEastAsia" w:cs="Arial"/>
                <w:sz w:val="18"/>
                <w:szCs w:val="18"/>
              </w:rPr>
            </w:pPr>
            <w:r w:rsidRPr="004B0DAD">
              <w:rPr>
                <w:rFonts w:eastAsiaTheme="minorEastAsia" w:cs="Arial"/>
                <w:sz w:val="18"/>
                <w:szCs w:val="18"/>
              </w:rPr>
              <w:t xml:space="preserve">Roy Leckie, Stuart Leckie, </w:t>
            </w:r>
            <w:r>
              <w:rPr>
                <w:rFonts w:eastAsiaTheme="minorEastAsia" w:cs="Arial"/>
                <w:sz w:val="18"/>
                <w:szCs w:val="18"/>
              </w:rPr>
              <w:t>Dunedin, Hampden &amp; Co</w:t>
            </w:r>
          </w:p>
        </w:tc>
        <w:tc>
          <w:tcPr>
            <w:tcW w:w="2268" w:type="dxa"/>
            <w:vAlign w:val="center"/>
          </w:tcPr>
          <w:p w:rsidR="002401D5" w:rsidRPr="004B0DAD" w:rsidRDefault="002401D5" w:rsidP="00D36196">
            <w:pPr>
              <w:rPr>
                <w:rFonts w:eastAsiaTheme="minorEastAsia" w:cs="Arial"/>
                <w:sz w:val="18"/>
                <w:szCs w:val="18"/>
              </w:rPr>
            </w:pPr>
            <w:r w:rsidRPr="004B0DAD">
              <w:rPr>
                <w:rFonts w:eastAsiaTheme="minorEastAsia" w:cs="Arial"/>
                <w:sz w:val="18"/>
                <w:szCs w:val="18"/>
              </w:rPr>
              <w:t>Steel Asset 9k</w:t>
            </w:r>
          </w:p>
          <w:p w:rsidR="002401D5" w:rsidRPr="004B0DAD" w:rsidRDefault="002401D5" w:rsidP="00D36196">
            <w:pPr>
              <w:rPr>
                <w:rFonts w:eastAsiaTheme="minorEastAsia" w:cs="Arial"/>
                <w:sz w:val="18"/>
                <w:szCs w:val="18"/>
              </w:rPr>
            </w:pPr>
            <w:r w:rsidRPr="004B0DAD">
              <w:rPr>
                <w:rFonts w:eastAsiaTheme="minorEastAsia" w:cs="Arial"/>
                <w:sz w:val="18"/>
                <w:szCs w:val="18"/>
              </w:rPr>
              <w:t>Stephen Fairfield 10k</w:t>
            </w:r>
          </w:p>
        </w:tc>
        <w:tc>
          <w:tcPr>
            <w:tcW w:w="1417" w:type="dxa"/>
            <w:vAlign w:val="center"/>
          </w:tcPr>
          <w:p w:rsidR="002401D5" w:rsidRPr="004B0DAD" w:rsidRDefault="002401D5" w:rsidP="00D36196">
            <w:pPr>
              <w:jc w:val="center"/>
              <w:rPr>
                <w:rFonts w:eastAsia="MS PGothic" w:cs="Arial"/>
                <w:b/>
                <w:bCs/>
                <w:kern w:val="24"/>
              </w:rPr>
            </w:pPr>
            <w:r w:rsidRPr="004B0DAD">
              <w:rPr>
                <w:rFonts w:eastAsia="MS PGothic" w:cs="Arial"/>
                <w:b/>
                <w:bCs/>
                <w:kern w:val="24"/>
              </w:rPr>
              <w:t>230k</w:t>
            </w:r>
          </w:p>
        </w:tc>
      </w:tr>
      <w:tr w:rsidR="002401D5" w:rsidRPr="00426E7D" w:rsidTr="00D36196">
        <w:trPr>
          <w:trHeight w:val="1119"/>
        </w:trPr>
        <w:tc>
          <w:tcPr>
            <w:tcW w:w="1242" w:type="dxa"/>
            <w:vAlign w:val="center"/>
          </w:tcPr>
          <w:p w:rsidR="002401D5" w:rsidRPr="00426E7D" w:rsidRDefault="002401D5" w:rsidP="00D36196">
            <w:pPr>
              <w:jc w:val="center"/>
              <w:rPr>
                <w:rFonts w:eastAsiaTheme="minorEastAsia" w:cs="Arial"/>
              </w:rPr>
            </w:pPr>
            <w:r w:rsidRPr="00426E7D">
              <w:rPr>
                <w:rFonts w:eastAsiaTheme="minorEastAsia" w:cs="Arial"/>
              </w:rPr>
              <w:t>50k</w:t>
            </w:r>
          </w:p>
        </w:tc>
        <w:tc>
          <w:tcPr>
            <w:tcW w:w="1418" w:type="dxa"/>
            <w:vAlign w:val="center"/>
          </w:tcPr>
          <w:p w:rsidR="002401D5" w:rsidRPr="00426E7D" w:rsidRDefault="002401D5" w:rsidP="00D36196">
            <w:pPr>
              <w:jc w:val="center"/>
              <w:rPr>
                <w:rFonts w:eastAsiaTheme="minorEastAsia" w:cs="Arial"/>
              </w:rPr>
            </w:pPr>
            <w:r w:rsidRPr="00426E7D">
              <w:rPr>
                <w:rFonts w:eastAsiaTheme="minorEastAsia" w:cs="Arial"/>
              </w:rPr>
              <w:t>210k</w:t>
            </w:r>
          </w:p>
        </w:tc>
        <w:tc>
          <w:tcPr>
            <w:tcW w:w="4111" w:type="dxa"/>
            <w:vAlign w:val="center"/>
          </w:tcPr>
          <w:p w:rsidR="002401D5" w:rsidRPr="004B0DAD" w:rsidRDefault="002401D5" w:rsidP="00D36196">
            <w:pPr>
              <w:jc w:val="center"/>
              <w:rPr>
                <w:rFonts w:eastAsiaTheme="minorEastAsia" w:cs="Arial"/>
                <w:b/>
                <w:bCs/>
              </w:rPr>
            </w:pPr>
            <w:r w:rsidRPr="004B0DAD">
              <w:rPr>
                <w:rFonts w:eastAsiaTheme="minorEastAsia" w:cs="Arial"/>
                <w:b/>
                <w:bCs/>
              </w:rPr>
              <w:t>5 @ 10k (20 prospects)</w:t>
            </w:r>
          </w:p>
        </w:tc>
        <w:tc>
          <w:tcPr>
            <w:tcW w:w="2835" w:type="dxa"/>
            <w:vAlign w:val="center"/>
          </w:tcPr>
          <w:p w:rsidR="002401D5" w:rsidRPr="004B0DAD" w:rsidRDefault="002401D5" w:rsidP="00D36196">
            <w:pPr>
              <w:rPr>
                <w:rFonts w:eastAsiaTheme="minorEastAsia" w:cs="Arial"/>
                <w:sz w:val="18"/>
                <w:szCs w:val="18"/>
              </w:rPr>
            </w:pPr>
            <w:r w:rsidRPr="004B0DAD">
              <w:rPr>
                <w:rFonts w:eastAsiaTheme="minorEastAsia" w:cs="Arial"/>
                <w:sz w:val="18"/>
                <w:szCs w:val="18"/>
              </w:rPr>
              <w:t>Wildland (15k), Garfield Weston, Douglas Noble</w:t>
            </w:r>
            <w:r>
              <w:rPr>
                <w:rFonts w:eastAsiaTheme="minorEastAsia" w:cs="Arial"/>
                <w:sz w:val="18"/>
                <w:szCs w:val="18"/>
              </w:rPr>
              <w:t>, Mactaggart</w:t>
            </w:r>
          </w:p>
        </w:tc>
        <w:tc>
          <w:tcPr>
            <w:tcW w:w="2268" w:type="dxa"/>
            <w:vAlign w:val="center"/>
          </w:tcPr>
          <w:p w:rsidR="002401D5" w:rsidRPr="004B0DAD" w:rsidRDefault="002401D5" w:rsidP="00D36196">
            <w:pPr>
              <w:rPr>
                <w:rFonts w:eastAsiaTheme="minorEastAsia" w:cs="Arial"/>
                <w:sz w:val="18"/>
                <w:szCs w:val="18"/>
              </w:rPr>
            </w:pPr>
            <w:r>
              <w:rPr>
                <w:rFonts w:eastAsiaTheme="minorEastAsia" w:cs="Arial"/>
                <w:sz w:val="18"/>
                <w:szCs w:val="18"/>
              </w:rPr>
              <w:t>CR CAF 10k</w:t>
            </w:r>
          </w:p>
        </w:tc>
        <w:tc>
          <w:tcPr>
            <w:tcW w:w="1417" w:type="dxa"/>
            <w:vAlign w:val="center"/>
          </w:tcPr>
          <w:p w:rsidR="002401D5" w:rsidRPr="004B0DAD" w:rsidRDefault="002401D5" w:rsidP="00D36196">
            <w:pPr>
              <w:jc w:val="center"/>
              <w:rPr>
                <w:rFonts w:eastAsia="MS PGothic" w:cs="Arial"/>
                <w:b/>
                <w:bCs/>
                <w:kern w:val="24"/>
              </w:rPr>
            </w:pPr>
            <w:r w:rsidRPr="004B0DAD">
              <w:rPr>
                <w:rFonts w:eastAsia="MS PGothic" w:cs="Arial"/>
                <w:b/>
                <w:bCs/>
                <w:kern w:val="24"/>
              </w:rPr>
              <w:t>211k</w:t>
            </w:r>
          </w:p>
        </w:tc>
      </w:tr>
      <w:tr w:rsidR="002401D5" w:rsidRPr="00426E7D" w:rsidTr="00D36196">
        <w:trPr>
          <w:trHeight w:val="969"/>
        </w:trPr>
        <w:tc>
          <w:tcPr>
            <w:tcW w:w="1242" w:type="dxa"/>
            <w:vAlign w:val="center"/>
          </w:tcPr>
          <w:p w:rsidR="002401D5" w:rsidRPr="00426E7D" w:rsidRDefault="002401D5" w:rsidP="00D36196">
            <w:pPr>
              <w:jc w:val="center"/>
              <w:rPr>
                <w:rFonts w:eastAsiaTheme="minorEastAsia" w:cs="Arial"/>
              </w:rPr>
            </w:pPr>
            <w:r w:rsidRPr="00426E7D">
              <w:rPr>
                <w:rFonts w:eastAsiaTheme="minorEastAsia" w:cs="Arial"/>
              </w:rPr>
              <w:t>40k</w:t>
            </w:r>
          </w:p>
        </w:tc>
        <w:tc>
          <w:tcPr>
            <w:tcW w:w="1418" w:type="dxa"/>
            <w:vAlign w:val="center"/>
          </w:tcPr>
          <w:p w:rsidR="002401D5" w:rsidRPr="00426E7D" w:rsidRDefault="002401D5" w:rsidP="00D36196">
            <w:pPr>
              <w:jc w:val="center"/>
              <w:rPr>
                <w:rFonts w:eastAsiaTheme="minorEastAsia" w:cs="Arial"/>
              </w:rPr>
            </w:pPr>
            <w:r w:rsidRPr="00426E7D">
              <w:rPr>
                <w:rFonts w:eastAsiaTheme="minorEastAsia" w:cs="Arial"/>
              </w:rPr>
              <w:t>250k</w:t>
            </w:r>
          </w:p>
        </w:tc>
        <w:tc>
          <w:tcPr>
            <w:tcW w:w="4111" w:type="dxa"/>
            <w:vAlign w:val="center"/>
          </w:tcPr>
          <w:p w:rsidR="002401D5" w:rsidRPr="004B0DAD" w:rsidRDefault="002401D5" w:rsidP="00D36196">
            <w:pPr>
              <w:jc w:val="center"/>
              <w:rPr>
                <w:rFonts w:eastAsiaTheme="minorEastAsia" w:cs="Arial"/>
                <w:b/>
                <w:bCs/>
              </w:rPr>
            </w:pPr>
            <w:r w:rsidRPr="004B0DAD">
              <w:rPr>
                <w:rFonts w:eastAsiaTheme="minorEastAsia" w:cs="Arial"/>
                <w:b/>
                <w:bCs/>
              </w:rPr>
              <w:t>8 @ 5k (32 prospects)</w:t>
            </w:r>
          </w:p>
        </w:tc>
        <w:tc>
          <w:tcPr>
            <w:tcW w:w="2835" w:type="dxa"/>
            <w:vAlign w:val="center"/>
          </w:tcPr>
          <w:p w:rsidR="002401D5" w:rsidRPr="004B0DAD" w:rsidRDefault="002401D5" w:rsidP="00D36196">
            <w:pPr>
              <w:rPr>
                <w:rFonts w:eastAsiaTheme="minorEastAsia" w:cs="Arial"/>
                <w:sz w:val="18"/>
                <w:szCs w:val="18"/>
              </w:rPr>
            </w:pPr>
            <w:r w:rsidRPr="004B0DAD">
              <w:rPr>
                <w:rFonts w:eastAsiaTheme="minorEastAsia" w:cs="Arial"/>
                <w:sz w:val="18"/>
                <w:szCs w:val="18"/>
              </w:rPr>
              <w:t>PF Trust, David Shaw</w:t>
            </w:r>
            <w:r>
              <w:rPr>
                <w:rFonts w:eastAsiaTheme="minorEastAsia" w:cs="Arial"/>
                <w:sz w:val="18"/>
                <w:szCs w:val="18"/>
              </w:rPr>
              <w:t xml:space="preserve"> </w:t>
            </w:r>
            <w:r w:rsidRPr="004B0DAD">
              <w:rPr>
                <w:rFonts w:eastAsiaTheme="minorEastAsia" w:cs="Arial"/>
                <w:sz w:val="18"/>
                <w:szCs w:val="18"/>
              </w:rPr>
              <w:t>S</w:t>
            </w:r>
            <w:r>
              <w:rPr>
                <w:rFonts w:eastAsiaTheme="minorEastAsia" w:cs="Arial"/>
                <w:sz w:val="18"/>
                <w:szCs w:val="18"/>
              </w:rPr>
              <w:t xml:space="preserve">tewart </w:t>
            </w:r>
            <w:r w:rsidRPr="004B0DAD">
              <w:rPr>
                <w:rFonts w:eastAsiaTheme="minorEastAsia" w:cs="Arial"/>
                <w:sz w:val="18"/>
                <w:szCs w:val="18"/>
              </w:rPr>
              <w:t>Rathbones</w:t>
            </w:r>
            <w:r>
              <w:rPr>
                <w:rFonts w:eastAsiaTheme="minorEastAsia" w:cs="Arial"/>
                <w:sz w:val="18"/>
                <w:szCs w:val="18"/>
              </w:rPr>
              <w:t>, Stafford Trust</w:t>
            </w:r>
          </w:p>
        </w:tc>
        <w:tc>
          <w:tcPr>
            <w:tcW w:w="2268" w:type="dxa"/>
            <w:vAlign w:val="center"/>
          </w:tcPr>
          <w:p w:rsidR="002401D5" w:rsidRDefault="002401D5" w:rsidP="00D36196">
            <w:pPr>
              <w:rPr>
                <w:rFonts w:eastAsiaTheme="minorEastAsia" w:cs="Arial"/>
                <w:sz w:val="18"/>
                <w:szCs w:val="18"/>
              </w:rPr>
            </w:pPr>
            <w:r>
              <w:rPr>
                <w:rFonts w:eastAsiaTheme="minorEastAsia" w:cs="Arial"/>
                <w:sz w:val="18"/>
                <w:szCs w:val="18"/>
              </w:rPr>
              <w:t>Gower/Vine Trust £2400</w:t>
            </w:r>
          </w:p>
          <w:p w:rsidR="002401D5" w:rsidRPr="004B0DAD" w:rsidRDefault="002401D5" w:rsidP="00D36196">
            <w:pPr>
              <w:rPr>
                <w:rFonts w:eastAsiaTheme="minorEastAsia" w:cs="Arial"/>
                <w:sz w:val="18"/>
                <w:szCs w:val="18"/>
              </w:rPr>
            </w:pPr>
            <w:r>
              <w:rPr>
                <w:rFonts w:eastAsiaTheme="minorEastAsia" w:cs="Arial"/>
                <w:sz w:val="18"/>
                <w:szCs w:val="18"/>
              </w:rPr>
              <w:t>More Partnership £4500</w:t>
            </w:r>
          </w:p>
        </w:tc>
        <w:tc>
          <w:tcPr>
            <w:tcW w:w="1417" w:type="dxa"/>
            <w:vAlign w:val="center"/>
          </w:tcPr>
          <w:p w:rsidR="002401D5" w:rsidRPr="004B0DAD" w:rsidRDefault="002401D5" w:rsidP="00D36196">
            <w:pPr>
              <w:jc w:val="center"/>
              <w:rPr>
                <w:rFonts w:eastAsia="MS PGothic" w:cs="Arial"/>
                <w:b/>
                <w:bCs/>
                <w:kern w:val="24"/>
              </w:rPr>
            </w:pPr>
            <w:r w:rsidRPr="004B0DAD">
              <w:rPr>
                <w:rFonts w:eastAsia="MS PGothic" w:cs="Arial"/>
                <w:b/>
                <w:bCs/>
                <w:kern w:val="24"/>
              </w:rPr>
              <w:t>211</w:t>
            </w:r>
            <w:r>
              <w:rPr>
                <w:rFonts w:eastAsia="MS PGothic" w:cs="Arial"/>
                <w:b/>
                <w:bCs/>
                <w:kern w:val="24"/>
              </w:rPr>
              <w:t>k</w:t>
            </w:r>
          </w:p>
        </w:tc>
      </w:tr>
      <w:tr w:rsidR="002401D5" w:rsidRPr="00426E7D" w:rsidTr="00D36196">
        <w:trPr>
          <w:trHeight w:val="1135"/>
        </w:trPr>
        <w:tc>
          <w:tcPr>
            <w:tcW w:w="1242" w:type="dxa"/>
            <w:vAlign w:val="center"/>
          </w:tcPr>
          <w:p w:rsidR="002401D5" w:rsidRPr="00426E7D" w:rsidRDefault="002401D5" w:rsidP="00D36196">
            <w:pPr>
              <w:jc w:val="center"/>
              <w:rPr>
                <w:rFonts w:eastAsiaTheme="minorEastAsia" w:cs="Arial"/>
              </w:rPr>
            </w:pPr>
            <w:r w:rsidRPr="00426E7D">
              <w:rPr>
                <w:rFonts w:eastAsiaTheme="minorEastAsia" w:cs="Arial"/>
              </w:rPr>
              <w:t>30k</w:t>
            </w:r>
          </w:p>
        </w:tc>
        <w:tc>
          <w:tcPr>
            <w:tcW w:w="1418" w:type="dxa"/>
            <w:vAlign w:val="center"/>
          </w:tcPr>
          <w:p w:rsidR="002401D5" w:rsidRPr="00426E7D" w:rsidRDefault="002401D5" w:rsidP="00D36196">
            <w:pPr>
              <w:jc w:val="center"/>
              <w:rPr>
                <w:rFonts w:eastAsiaTheme="minorEastAsia" w:cs="Arial"/>
              </w:rPr>
            </w:pPr>
            <w:r w:rsidRPr="00426E7D">
              <w:rPr>
                <w:rFonts w:eastAsiaTheme="minorEastAsia" w:cs="Arial"/>
              </w:rPr>
              <w:t>280k</w:t>
            </w:r>
          </w:p>
        </w:tc>
        <w:tc>
          <w:tcPr>
            <w:tcW w:w="4111" w:type="dxa"/>
            <w:vAlign w:val="center"/>
          </w:tcPr>
          <w:p w:rsidR="002401D5" w:rsidRPr="004B0DAD" w:rsidRDefault="002401D5" w:rsidP="00D36196">
            <w:pPr>
              <w:jc w:val="center"/>
              <w:rPr>
                <w:rFonts w:eastAsiaTheme="minorEastAsia" w:cs="Arial"/>
                <w:b/>
                <w:bCs/>
              </w:rPr>
            </w:pPr>
            <w:r w:rsidRPr="004B0DAD">
              <w:rPr>
                <w:rFonts w:eastAsiaTheme="minorEastAsia" w:cs="Arial"/>
                <w:b/>
                <w:bCs/>
              </w:rPr>
              <w:t>12 @ 2.5k (48 prospects)</w:t>
            </w:r>
          </w:p>
        </w:tc>
        <w:tc>
          <w:tcPr>
            <w:tcW w:w="2835" w:type="dxa"/>
            <w:vAlign w:val="center"/>
          </w:tcPr>
          <w:p w:rsidR="002401D5" w:rsidRPr="004B0DAD" w:rsidRDefault="002401D5" w:rsidP="00D36196">
            <w:pPr>
              <w:rPr>
                <w:rFonts w:eastAsiaTheme="minorEastAsia" w:cs="Arial"/>
                <w:sz w:val="18"/>
                <w:szCs w:val="18"/>
              </w:rPr>
            </w:pPr>
            <w:r>
              <w:rPr>
                <w:rFonts w:eastAsiaTheme="minorEastAsia" w:cs="Arial"/>
                <w:sz w:val="18"/>
                <w:szCs w:val="18"/>
              </w:rPr>
              <w:t>Munro/Noble, Aegon</w:t>
            </w:r>
          </w:p>
        </w:tc>
        <w:tc>
          <w:tcPr>
            <w:tcW w:w="2268" w:type="dxa"/>
            <w:vAlign w:val="center"/>
          </w:tcPr>
          <w:p w:rsidR="002401D5" w:rsidRPr="004B0DAD" w:rsidRDefault="002401D5" w:rsidP="00D36196">
            <w:pPr>
              <w:rPr>
                <w:rFonts w:eastAsiaTheme="minorEastAsia" w:cs="Arial"/>
                <w:sz w:val="18"/>
                <w:szCs w:val="18"/>
              </w:rPr>
            </w:pPr>
          </w:p>
        </w:tc>
        <w:tc>
          <w:tcPr>
            <w:tcW w:w="1417" w:type="dxa"/>
            <w:vAlign w:val="center"/>
          </w:tcPr>
          <w:p w:rsidR="002401D5" w:rsidRPr="004B0DAD" w:rsidRDefault="002401D5" w:rsidP="00D36196">
            <w:pPr>
              <w:jc w:val="center"/>
              <w:rPr>
                <w:rFonts w:eastAsia="MS PGothic" w:cs="Arial"/>
                <w:b/>
                <w:bCs/>
                <w:kern w:val="24"/>
              </w:rPr>
            </w:pPr>
            <w:r w:rsidRPr="004B0DAD">
              <w:rPr>
                <w:rFonts w:eastAsia="MS PGothic" w:cs="Arial"/>
                <w:b/>
                <w:bCs/>
                <w:kern w:val="24"/>
              </w:rPr>
              <w:t>£206</w:t>
            </w:r>
            <w:r>
              <w:rPr>
                <w:rFonts w:eastAsia="MS PGothic" w:cs="Arial"/>
                <w:b/>
                <w:bCs/>
                <w:kern w:val="24"/>
              </w:rPr>
              <w:t>,</w:t>
            </w:r>
            <w:r w:rsidRPr="004B0DAD">
              <w:rPr>
                <w:rFonts w:eastAsia="MS PGothic" w:cs="Arial"/>
                <w:b/>
                <w:bCs/>
                <w:kern w:val="24"/>
              </w:rPr>
              <w:t>5</w:t>
            </w:r>
            <w:r>
              <w:rPr>
                <w:rFonts w:eastAsia="MS PGothic" w:cs="Arial"/>
                <w:b/>
                <w:bCs/>
                <w:kern w:val="24"/>
              </w:rPr>
              <w:t>00</w:t>
            </w:r>
          </w:p>
        </w:tc>
      </w:tr>
      <w:tr w:rsidR="002401D5" w:rsidRPr="00426E7D" w:rsidTr="00D36196">
        <w:trPr>
          <w:trHeight w:val="1012"/>
        </w:trPr>
        <w:tc>
          <w:tcPr>
            <w:tcW w:w="1242" w:type="dxa"/>
            <w:vAlign w:val="center"/>
          </w:tcPr>
          <w:p w:rsidR="002401D5" w:rsidRPr="00426E7D" w:rsidRDefault="002401D5" w:rsidP="00D36196">
            <w:pPr>
              <w:jc w:val="center"/>
              <w:rPr>
                <w:rFonts w:eastAsiaTheme="minorEastAsia" w:cs="Arial"/>
              </w:rPr>
            </w:pPr>
            <w:r w:rsidRPr="00426E7D">
              <w:rPr>
                <w:rFonts w:eastAsiaTheme="minorEastAsia" w:cs="Arial"/>
              </w:rPr>
              <w:t>15k</w:t>
            </w:r>
          </w:p>
        </w:tc>
        <w:tc>
          <w:tcPr>
            <w:tcW w:w="1418" w:type="dxa"/>
            <w:vAlign w:val="center"/>
          </w:tcPr>
          <w:p w:rsidR="002401D5" w:rsidRPr="00426E7D" w:rsidRDefault="002401D5" w:rsidP="00D36196">
            <w:pPr>
              <w:jc w:val="center"/>
              <w:rPr>
                <w:rFonts w:eastAsiaTheme="minorEastAsia" w:cs="Arial"/>
              </w:rPr>
            </w:pPr>
            <w:r w:rsidRPr="00426E7D">
              <w:rPr>
                <w:rFonts w:eastAsiaTheme="minorEastAsia" w:cs="Arial"/>
              </w:rPr>
              <w:t>295k</w:t>
            </w:r>
          </w:p>
        </w:tc>
        <w:tc>
          <w:tcPr>
            <w:tcW w:w="4111" w:type="dxa"/>
            <w:vAlign w:val="center"/>
          </w:tcPr>
          <w:p w:rsidR="002401D5" w:rsidRPr="004B0DAD" w:rsidRDefault="002401D5" w:rsidP="00D36196">
            <w:pPr>
              <w:jc w:val="center"/>
              <w:rPr>
                <w:rFonts w:eastAsiaTheme="minorEastAsia" w:cs="Arial"/>
                <w:b/>
                <w:bCs/>
              </w:rPr>
            </w:pPr>
            <w:r w:rsidRPr="004B0DAD">
              <w:rPr>
                <w:rFonts w:eastAsiaTheme="minorEastAsia" w:cs="Arial"/>
                <w:b/>
                <w:bCs/>
              </w:rPr>
              <w:t>15 @ 1k (60 prospects)</w:t>
            </w:r>
          </w:p>
        </w:tc>
        <w:tc>
          <w:tcPr>
            <w:tcW w:w="2835" w:type="dxa"/>
            <w:vAlign w:val="center"/>
          </w:tcPr>
          <w:p w:rsidR="002401D5" w:rsidRPr="004B0DAD" w:rsidRDefault="002401D5" w:rsidP="00D36196">
            <w:pPr>
              <w:rPr>
                <w:rFonts w:eastAsiaTheme="minorEastAsia" w:cs="Arial"/>
                <w:sz w:val="18"/>
                <w:szCs w:val="18"/>
              </w:rPr>
            </w:pPr>
            <w:r w:rsidRPr="004B0DAD">
              <w:rPr>
                <w:rFonts w:eastAsiaTheme="minorEastAsia" w:cs="Arial"/>
                <w:sz w:val="18"/>
                <w:szCs w:val="18"/>
              </w:rPr>
              <w:t>K Dalglish, T McNab. D Mackay, D Smith, J Weir</w:t>
            </w:r>
            <w:r>
              <w:rPr>
                <w:rFonts w:eastAsiaTheme="minorEastAsia" w:cs="Arial"/>
                <w:sz w:val="18"/>
                <w:szCs w:val="18"/>
              </w:rPr>
              <w:t>, D Ledingham, S Middleton, G Hartop</w:t>
            </w:r>
          </w:p>
        </w:tc>
        <w:tc>
          <w:tcPr>
            <w:tcW w:w="2268" w:type="dxa"/>
            <w:vAlign w:val="center"/>
          </w:tcPr>
          <w:p w:rsidR="002401D5" w:rsidRPr="004B0DAD" w:rsidRDefault="002401D5" w:rsidP="00D36196">
            <w:pPr>
              <w:rPr>
                <w:rFonts w:eastAsiaTheme="minorEastAsia" w:cs="Arial"/>
                <w:sz w:val="18"/>
                <w:szCs w:val="18"/>
              </w:rPr>
            </w:pPr>
            <w:r w:rsidRPr="004B0DAD">
              <w:rPr>
                <w:rFonts w:eastAsiaTheme="minorEastAsia" w:cs="Arial"/>
                <w:sz w:val="18"/>
                <w:szCs w:val="18"/>
              </w:rPr>
              <w:t xml:space="preserve">5 @ 1k: </w:t>
            </w:r>
            <w:r>
              <w:rPr>
                <w:rFonts w:eastAsiaTheme="minorEastAsia" w:cs="Arial"/>
                <w:sz w:val="18"/>
                <w:szCs w:val="18"/>
              </w:rPr>
              <w:t>Rose</w:t>
            </w:r>
            <w:r w:rsidRPr="004B0DAD">
              <w:rPr>
                <w:rFonts w:eastAsiaTheme="minorEastAsia" w:cs="Arial"/>
                <w:sz w:val="18"/>
                <w:szCs w:val="18"/>
              </w:rPr>
              <w:t xml:space="preserve">, IM, SF (CR) </w:t>
            </w:r>
            <w:r>
              <w:rPr>
                <w:rFonts w:eastAsiaTheme="minorEastAsia" w:cs="Arial"/>
                <w:sz w:val="18"/>
                <w:szCs w:val="18"/>
              </w:rPr>
              <w:t>Whyte,</w:t>
            </w:r>
            <w:r w:rsidRPr="004B0DAD">
              <w:rPr>
                <w:rFonts w:eastAsiaTheme="minorEastAsia" w:cs="Arial"/>
                <w:sz w:val="18"/>
                <w:szCs w:val="18"/>
              </w:rPr>
              <w:t xml:space="preserve"> </w:t>
            </w:r>
            <w:r>
              <w:rPr>
                <w:rFonts w:eastAsiaTheme="minorEastAsia" w:cs="Arial"/>
                <w:sz w:val="18"/>
                <w:szCs w:val="18"/>
              </w:rPr>
              <w:t>Campbell</w:t>
            </w:r>
          </w:p>
        </w:tc>
        <w:tc>
          <w:tcPr>
            <w:tcW w:w="1417" w:type="dxa"/>
            <w:vAlign w:val="center"/>
          </w:tcPr>
          <w:p w:rsidR="002401D5" w:rsidRPr="004B0DAD" w:rsidRDefault="002401D5" w:rsidP="00D36196">
            <w:pPr>
              <w:jc w:val="center"/>
              <w:rPr>
                <w:rFonts w:eastAsia="MS PGothic" w:cs="Arial"/>
                <w:b/>
                <w:bCs/>
                <w:kern w:val="24"/>
              </w:rPr>
            </w:pPr>
            <w:r w:rsidRPr="004B0DAD">
              <w:rPr>
                <w:rFonts w:eastAsia="MS PGothic" w:cs="Arial"/>
                <w:b/>
                <w:bCs/>
                <w:kern w:val="24"/>
              </w:rPr>
              <w:t>£201</w:t>
            </w:r>
            <w:r>
              <w:rPr>
                <w:rFonts w:eastAsia="MS PGothic" w:cs="Arial"/>
                <w:b/>
                <w:bCs/>
                <w:kern w:val="24"/>
              </w:rPr>
              <w:t>,</w:t>
            </w:r>
            <w:r w:rsidRPr="004B0DAD">
              <w:rPr>
                <w:rFonts w:eastAsia="MS PGothic" w:cs="Arial"/>
                <w:b/>
                <w:bCs/>
                <w:kern w:val="24"/>
              </w:rPr>
              <w:t>5</w:t>
            </w:r>
            <w:r>
              <w:rPr>
                <w:rFonts w:eastAsia="MS PGothic" w:cs="Arial"/>
                <w:b/>
                <w:bCs/>
                <w:kern w:val="24"/>
              </w:rPr>
              <w:t>00</w:t>
            </w:r>
          </w:p>
        </w:tc>
      </w:tr>
    </w:tbl>
    <w:p w:rsidR="002401D5" w:rsidRDefault="002401D5" w:rsidP="002401D5">
      <w:pPr>
        <w:widowControl w:val="0"/>
        <w:autoSpaceDE w:val="0"/>
        <w:autoSpaceDN w:val="0"/>
        <w:adjustRightInd w:val="0"/>
        <w:rPr>
          <w:rFonts w:asciiTheme="majorHAnsi" w:hAnsiTheme="majorHAnsi" w:cs="Arial"/>
          <w:b/>
        </w:rPr>
      </w:pPr>
    </w:p>
    <w:p w:rsidR="002401D5" w:rsidRDefault="002401D5" w:rsidP="002401D5">
      <w:pPr>
        <w:widowControl w:val="0"/>
        <w:autoSpaceDE w:val="0"/>
        <w:autoSpaceDN w:val="0"/>
        <w:adjustRightInd w:val="0"/>
        <w:rPr>
          <w:rFonts w:asciiTheme="majorHAnsi" w:hAnsiTheme="majorHAnsi" w:cs="Arial"/>
          <w:b/>
        </w:rPr>
      </w:pPr>
    </w:p>
    <w:p w:rsidR="005A0701" w:rsidRPr="00C82210" w:rsidRDefault="005A0701" w:rsidP="005A0701">
      <w:pPr>
        <w:pStyle w:val="Subtitle"/>
        <w:rPr>
          <w:rFonts w:ascii="Gill Sans MT" w:hAnsi="Gill Sans MT"/>
          <w:b/>
          <w:color w:val="2F5496" w:themeColor="accent1" w:themeShade="BF"/>
        </w:rPr>
      </w:pPr>
      <w:r w:rsidRPr="00C82210">
        <w:rPr>
          <w:rFonts w:ascii="Gill Sans MT" w:hAnsi="Gill Sans MT"/>
          <w:b/>
          <w:color w:val="2F5496" w:themeColor="accent1" w:themeShade="BF"/>
        </w:rPr>
        <w:t>The Role of Events in Major Donor and Individual Giving</w:t>
      </w:r>
    </w:p>
    <w:p w:rsidR="005A0701" w:rsidRPr="0017105E" w:rsidRDefault="005A0701" w:rsidP="005A0701">
      <w:pPr>
        <w:spacing w:after="0" w:line="240" w:lineRule="auto"/>
        <w:rPr>
          <w:rFonts w:ascii="Gill Sans MT" w:hAnsi="Gill Sans MT"/>
        </w:rPr>
      </w:pPr>
      <w:r w:rsidRPr="0017105E">
        <w:rPr>
          <w:rFonts w:ascii="Gill Sans MT" w:hAnsi="Gill Sans MT"/>
        </w:rPr>
        <w:t xml:space="preserve">Organising events as a means of fundraising can be a great way to involve an array of different people in the philanthropic efforts of </w:t>
      </w:r>
      <w:r>
        <w:rPr>
          <w:rFonts w:ascii="Gill Sans MT" w:hAnsi="Gill Sans MT"/>
        </w:rPr>
        <w:t>OSS</w:t>
      </w:r>
      <w:r w:rsidRPr="0017105E">
        <w:rPr>
          <w:rFonts w:ascii="Gill Sans MT" w:hAnsi="Gill Sans MT"/>
        </w:rPr>
        <w:t xml:space="preserve">, including friends, patrons and prospective donors. It can raise awareness for the fundraising need in a fun way, reaching new audiences and a wider potential new supporter </w:t>
      </w:r>
      <w:r w:rsidRPr="0017105E">
        <w:rPr>
          <w:rFonts w:ascii="Gill Sans MT" w:hAnsi="Gill Sans MT"/>
        </w:rPr>
        <w:lastRenderedPageBreak/>
        <w:t>base. However, such events involve time, effort and costs and so before a fundraising event is confirmed, it should be robustly appraised, including anticipated gift expectations and it should only go ahead if there is a high degree of confidence that it will:</w:t>
      </w:r>
    </w:p>
    <w:p w:rsidR="005A0701" w:rsidRPr="0017105E" w:rsidRDefault="005A0701" w:rsidP="005A0701">
      <w:pPr>
        <w:spacing w:after="0" w:line="240" w:lineRule="auto"/>
        <w:rPr>
          <w:rFonts w:ascii="Gill Sans MT" w:hAnsi="Gill Sans MT"/>
        </w:rPr>
      </w:pPr>
    </w:p>
    <w:p w:rsidR="005A0701" w:rsidRPr="0017105E" w:rsidRDefault="005A0701" w:rsidP="005A0701">
      <w:pPr>
        <w:pStyle w:val="ListParagraph"/>
        <w:numPr>
          <w:ilvl w:val="0"/>
          <w:numId w:val="14"/>
        </w:numPr>
        <w:spacing w:after="0" w:line="240" w:lineRule="auto"/>
        <w:rPr>
          <w:rFonts w:ascii="Gill Sans MT" w:hAnsi="Gill Sans MT"/>
        </w:rPr>
      </w:pPr>
      <w:r w:rsidRPr="0017105E">
        <w:rPr>
          <w:rFonts w:ascii="Gill Sans MT" w:hAnsi="Gill Sans MT"/>
        </w:rPr>
        <w:t xml:space="preserve">Make more in donations than it will cost </w:t>
      </w:r>
      <w:r>
        <w:rPr>
          <w:rFonts w:ascii="Gill Sans MT" w:hAnsi="Gill Sans MT"/>
        </w:rPr>
        <w:t>OSS</w:t>
      </w:r>
      <w:r w:rsidRPr="0017105E">
        <w:rPr>
          <w:rFonts w:ascii="Gill Sans MT" w:hAnsi="Gill Sans MT"/>
        </w:rPr>
        <w:t xml:space="preserve"> to organise;</w:t>
      </w:r>
    </w:p>
    <w:p w:rsidR="005A0701" w:rsidRPr="0017105E" w:rsidRDefault="0000666C" w:rsidP="005A0701">
      <w:pPr>
        <w:pStyle w:val="ListParagraph"/>
        <w:numPr>
          <w:ilvl w:val="0"/>
          <w:numId w:val="14"/>
        </w:numPr>
        <w:spacing w:after="0" w:line="240" w:lineRule="auto"/>
        <w:rPr>
          <w:rFonts w:ascii="Gill Sans MT" w:hAnsi="Gill Sans MT"/>
        </w:rPr>
      </w:pPr>
      <w:r>
        <w:rPr>
          <w:rFonts w:ascii="Gill Sans MT" w:hAnsi="Gill Sans MT"/>
        </w:rPr>
        <w:t>M</w:t>
      </w:r>
      <w:r w:rsidR="005A0701" w:rsidRPr="0017105E">
        <w:rPr>
          <w:rFonts w:ascii="Gill Sans MT" w:hAnsi="Gill Sans MT"/>
        </w:rPr>
        <w:t xml:space="preserve">ake substantial progress in cultivating key funders and in promoting the wider work and fundraising need of </w:t>
      </w:r>
      <w:r w:rsidR="005A0701">
        <w:rPr>
          <w:rFonts w:ascii="Gill Sans MT" w:hAnsi="Gill Sans MT"/>
        </w:rPr>
        <w:t>OSS</w:t>
      </w:r>
      <w:r w:rsidR="005A0701" w:rsidRPr="0017105E">
        <w:rPr>
          <w:rFonts w:ascii="Gill Sans MT" w:hAnsi="Gill Sans MT"/>
        </w:rPr>
        <w:t xml:space="preserve">; </w:t>
      </w:r>
      <w:r>
        <w:rPr>
          <w:rFonts w:ascii="Gill Sans MT" w:hAnsi="Gill Sans MT"/>
        </w:rPr>
        <w:t>or</w:t>
      </w:r>
    </w:p>
    <w:p w:rsidR="005A0701" w:rsidRPr="0017105E" w:rsidRDefault="0000666C" w:rsidP="005A0701">
      <w:pPr>
        <w:pStyle w:val="ListParagraph"/>
        <w:numPr>
          <w:ilvl w:val="0"/>
          <w:numId w:val="14"/>
        </w:numPr>
        <w:spacing w:after="0" w:line="240" w:lineRule="auto"/>
        <w:rPr>
          <w:rFonts w:ascii="Gill Sans MT" w:hAnsi="Gill Sans MT"/>
        </w:rPr>
      </w:pPr>
      <w:r>
        <w:rPr>
          <w:rFonts w:ascii="Gill Sans MT" w:hAnsi="Gill Sans MT"/>
        </w:rPr>
        <w:t>Is a</w:t>
      </w:r>
      <w:r w:rsidR="005A0701" w:rsidRPr="0017105E">
        <w:rPr>
          <w:rFonts w:ascii="Gill Sans MT" w:hAnsi="Gill Sans MT"/>
        </w:rPr>
        <w:t xml:space="preserve"> key part of donor stewardship and is to thank those that have already supported </w:t>
      </w:r>
      <w:r w:rsidR="005A0701">
        <w:rPr>
          <w:rFonts w:ascii="Gill Sans MT" w:hAnsi="Gill Sans MT"/>
        </w:rPr>
        <w:t>OSS</w:t>
      </w:r>
      <w:r w:rsidR="005A0701" w:rsidRPr="0017105E">
        <w:rPr>
          <w:rFonts w:ascii="Gill Sans MT" w:hAnsi="Gill Sans MT"/>
        </w:rPr>
        <w:t>.</w:t>
      </w:r>
    </w:p>
    <w:p w:rsidR="005A0701" w:rsidRPr="0017105E" w:rsidRDefault="005A0701" w:rsidP="005A0701">
      <w:pPr>
        <w:spacing w:after="0" w:line="240" w:lineRule="auto"/>
        <w:rPr>
          <w:rFonts w:ascii="Gill Sans MT" w:hAnsi="Gill Sans MT"/>
        </w:rPr>
      </w:pPr>
    </w:p>
    <w:p w:rsidR="005A0701" w:rsidRPr="0017105E" w:rsidRDefault="0000666C" w:rsidP="005A0701">
      <w:pPr>
        <w:spacing w:after="0" w:line="240" w:lineRule="auto"/>
        <w:rPr>
          <w:rFonts w:ascii="Gill Sans MT" w:hAnsi="Gill Sans MT"/>
        </w:rPr>
      </w:pPr>
      <w:r>
        <w:rPr>
          <w:rFonts w:ascii="Gill Sans MT" w:hAnsi="Gill Sans MT"/>
        </w:rPr>
        <w:t>The</w:t>
      </w:r>
      <w:r w:rsidR="005A0701" w:rsidRPr="0017105E">
        <w:rPr>
          <w:rFonts w:ascii="Gill Sans MT" w:hAnsi="Gill Sans MT"/>
        </w:rPr>
        <w:t xml:space="preserve"> event must be part of a larger strategy</w:t>
      </w:r>
      <w:r>
        <w:rPr>
          <w:rFonts w:ascii="Gill Sans MT" w:hAnsi="Gill Sans MT"/>
        </w:rPr>
        <w:t xml:space="preserve"> </w:t>
      </w:r>
      <w:r w:rsidR="005A0701" w:rsidRPr="0017105E">
        <w:rPr>
          <w:rFonts w:ascii="Gill Sans MT" w:hAnsi="Gill Sans MT"/>
        </w:rPr>
        <w:t>that includes a strong case for support, a strong fundraising plan, and the creation of strong relationships with all donors.</w:t>
      </w:r>
    </w:p>
    <w:p w:rsidR="005A0701" w:rsidRPr="0017105E" w:rsidRDefault="005A0701" w:rsidP="005A0701">
      <w:pPr>
        <w:spacing w:after="0" w:line="240" w:lineRule="auto"/>
        <w:rPr>
          <w:rFonts w:ascii="Gill Sans MT" w:hAnsi="Gill Sans MT"/>
        </w:rPr>
      </w:pPr>
    </w:p>
    <w:p w:rsidR="005A0701" w:rsidRPr="0017105E" w:rsidRDefault="005A0701" w:rsidP="005A0701">
      <w:pPr>
        <w:spacing w:after="0" w:line="240" w:lineRule="auto"/>
        <w:rPr>
          <w:rFonts w:ascii="Gill Sans MT" w:hAnsi="Gill Sans MT"/>
        </w:rPr>
      </w:pPr>
      <w:r w:rsidRPr="0017105E">
        <w:rPr>
          <w:rFonts w:ascii="Gill Sans MT" w:hAnsi="Gill Sans MT"/>
        </w:rPr>
        <w:t xml:space="preserve">For example, high net worth individuals are the most likely candidate group and should be the key target audience for special events within the </w:t>
      </w:r>
      <w:r>
        <w:rPr>
          <w:rFonts w:ascii="Gill Sans MT" w:hAnsi="Gill Sans MT"/>
        </w:rPr>
        <w:t>OSS</w:t>
      </w:r>
      <w:r w:rsidRPr="0017105E">
        <w:rPr>
          <w:rFonts w:ascii="Gill Sans MT" w:hAnsi="Gill Sans MT"/>
        </w:rPr>
        <w:t xml:space="preserve"> diary</w:t>
      </w:r>
      <w:r>
        <w:rPr>
          <w:rFonts w:ascii="Gill Sans MT" w:hAnsi="Gill Sans MT"/>
        </w:rPr>
        <w:t xml:space="preserve">. </w:t>
      </w:r>
      <w:r w:rsidRPr="0017105E">
        <w:rPr>
          <w:rFonts w:ascii="Gill Sans MT" w:hAnsi="Gill Sans MT"/>
        </w:rPr>
        <w:t xml:space="preserve">Given this, there should always be a fundraising presence and fundraising ask made at all </w:t>
      </w:r>
      <w:r>
        <w:rPr>
          <w:rFonts w:ascii="Gill Sans MT" w:hAnsi="Gill Sans MT"/>
        </w:rPr>
        <w:t>OSS</w:t>
      </w:r>
      <w:r w:rsidRPr="0017105E">
        <w:rPr>
          <w:rFonts w:ascii="Gill Sans MT" w:hAnsi="Gill Sans MT"/>
        </w:rPr>
        <w:t xml:space="preserve"> events, ranging from fundraising materials being placed on seats and in programmes, to the right</w:t>
      </w:r>
      <w:r>
        <w:rPr>
          <w:rFonts w:ascii="Gill Sans MT" w:hAnsi="Gill Sans MT"/>
        </w:rPr>
        <w:t xml:space="preserve"> </w:t>
      </w:r>
      <w:r w:rsidR="0000666C">
        <w:rPr>
          <w:rFonts w:ascii="Gill Sans MT" w:hAnsi="Gill Sans MT"/>
        </w:rPr>
        <w:t xml:space="preserve">OSS </w:t>
      </w:r>
      <w:r>
        <w:rPr>
          <w:rFonts w:ascii="Gill Sans MT" w:hAnsi="Gill Sans MT"/>
        </w:rPr>
        <w:t>trustees and volunteers be</w:t>
      </w:r>
      <w:r w:rsidRPr="0017105E">
        <w:rPr>
          <w:rFonts w:ascii="Gill Sans MT" w:hAnsi="Gill Sans MT"/>
        </w:rPr>
        <w:t>ing present.</w:t>
      </w:r>
    </w:p>
    <w:p w:rsidR="005A0701" w:rsidRPr="0017105E" w:rsidRDefault="005A0701" w:rsidP="005A0701">
      <w:pPr>
        <w:spacing w:after="0" w:line="240" w:lineRule="auto"/>
        <w:rPr>
          <w:rFonts w:ascii="Gill Sans MT" w:hAnsi="Gill Sans MT"/>
        </w:rPr>
      </w:pPr>
    </w:p>
    <w:p w:rsidR="005A0701" w:rsidRPr="0017105E" w:rsidRDefault="005A0701" w:rsidP="005A0701">
      <w:pPr>
        <w:spacing w:after="0" w:line="240" w:lineRule="auto"/>
        <w:rPr>
          <w:rFonts w:ascii="Gill Sans MT" w:hAnsi="Gill Sans MT"/>
        </w:rPr>
      </w:pPr>
      <w:r>
        <w:rPr>
          <w:rFonts w:ascii="Gill Sans MT" w:hAnsi="Gill Sans MT"/>
        </w:rPr>
        <w:t>It will be vital for OSS Trustees and ambassadors to be able to make asks in a confident manner at events</w:t>
      </w:r>
      <w:r w:rsidR="0000666C">
        <w:rPr>
          <w:rFonts w:ascii="Gill Sans MT" w:hAnsi="Gill Sans MT"/>
        </w:rPr>
        <w:t>. The</w:t>
      </w:r>
      <w:r>
        <w:rPr>
          <w:rFonts w:ascii="Gill Sans MT" w:hAnsi="Gill Sans MT"/>
        </w:rPr>
        <w:t xml:space="preserve"> Trustees are representing the cause and if they can’t make the ask in public, it impacts on the confidence prospects will have in the project</w:t>
      </w:r>
      <w:r w:rsidR="0000666C">
        <w:rPr>
          <w:rFonts w:ascii="Gill Sans MT" w:hAnsi="Gill Sans MT"/>
        </w:rPr>
        <w:t xml:space="preserve"> -</w:t>
      </w:r>
      <w:r>
        <w:rPr>
          <w:rFonts w:ascii="Gill Sans MT" w:hAnsi="Gill Sans MT"/>
        </w:rPr>
        <w:t xml:space="preserve"> the Trustees must be seen to believe in the cause they are wanting others to support.</w:t>
      </w:r>
    </w:p>
    <w:p w:rsidR="005A0701" w:rsidRPr="0017105E" w:rsidRDefault="005A0701" w:rsidP="005A0701">
      <w:pPr>
        <w:spacing w:after="0" w:line="240" w:lineRule="auto"/>
        <w:rPr>
          <w:rFonts w:ascii="Gill Sans MT" w:hAnsi="Gill Sans MT"/>
        </w:rPr>
      </w:pPr>
    </w:p>
    <w:p w:rsidR="005A0701" w:rsidRPr="00990D97" w:rsidRDefault="005A0701" w:rsidP="005A0701">
      <w:pPr>
        <w:pStyle w:val="Heading2"/>
        <w:rPr>
          <w:rFonts w:ascii="Gill Sans MT" w:hAnsi="Gill Sans MT"/>
          <w:b/>
          <w:sz w:val="24"/>
          <w:szCs w:val="24"/>
        </w:rPr>
      </w:pPr>
      <w:bookmarkStart w:id="6" w:name="_Toc41610208"/>
      <w:r w:rsidRPr="00990D97">
        <w:rPr>
          <w:rFonts w:ascii="Gill Sans MT" w:hAnsi="Gill Sans MT"/>
          <w:b/>
          <w:sz w:val="24"/>
          <w:szCs w:val="24"/>
        </w:rPr>
        <w:t>Corporate Fundraising Strategy</w:t>
      </w:r>
      <w:bookmarkEnd w:id="6"/>
    </w:p>
    <w:p w:rsidR="005A0701" w:rsidRDefault="005A0701" w:rsidP="005A0701">
      <w:pPr>
        <w:spacing w:after="0" w:line="240" w:lineRule="auto"/>
        <w:rPr>
          <w:rFonts w:ascii="Gill Sans MT" w:hAnsi="Gill Sans MT"/>
        </w:rPr>
      </w:pPr>
    </w:p>
    <w:p w:rsidR="005A0701" w:rsidRPr="0017105E" w:rsidRDefault="005A0701" w:rsidP="005A0701">
      <w:pPr>
        <w:spacing w:after="0" w:line="240" w:lineRule="auto"/>
        <w:rPr>
          <w:rFonts w:ascii="Gill Sans MT" w:hAnsi="Gill Sans MT"/>
        </w:rPr>
      </w:pPr>
      <w:r w:rsidRPr="0017105E">
        <w:rPr>
          <w:rFonts w:ascii="Gill Sans MT" w:hAnsi="Gill Sans MT"/>
        </w:rPr>
        <w:t>Companies in the UK continue to be engaging in charities at a very low level in comparison with other countries. Corporate giving in the UK has always accounted for less than 2% of all company profits. Companies continue to recover from the global recession, and as they anticipate the impacts of Brexit</w:t>
      </w:r>
      <w:r w:rsidR="009B562B">
        <w:rPr>
          <w:rFonts w:ascii="Gill Sans MT" w:hAnsi="Gill Sans MT"/>
        </w:rPr>
        <w:t xml:space="preserve"> and COVID-19</w:t>
      </w:r>
      <w:r w:rsidRPr="0017105E">
        <w:rPr>
          <w:rFonts w:ascii="Gill Sans MT" w:hAnsi="Gill Sans MT"/>
        </w:rPr>
        <w:t xml:space="preserve">, they remain wary of supporting charitable endeavour. However, with many corporates now re-assessing their charitable support programmes and with the links growing stronger between high net worth individuals, trusts and corporates, there are opportunities for </w:t>
      </w:r>
      <w:r>
        <w:rPr>
          <w:rFonts w:ascii="Gill Sans MT" w:hAnsi="Gill Sans MT"/>
        </w:rPr>
        <w:t>OSS</w:t>
      </w:r>
      <w:r w:rsidRPr="0017105E">
        <w:rPr>
          <w:rFonts w:ascii="Gill Sans MT" w:hAnsi="Gill Sans MT"/>
        </w:rPr>
        <w:t xml:space="preserve"> in this area.  </w:t>
      </w:r>
      <w:r w:rsidR="003F1406">
        <w:rPr>
          <w:rFonts w:ascii="Gill Sans MT" w:hAnsi="Gill Sans MT"/>
        </w:rPr>
        <w:t xml:space="preserve">OSS </w:t>
      </w:r>
      <w:r w:rsidR="005E22B4">
        <w:rPr>
          <w:rFonts w:ascii="Gill Sans MT" w:hAnsi="Gill Sans MT"/>
        </w:rPr>
        <w:t>is seeking</w:t>
      </w:r>
      <w:r w:rsidR="003F1406">
        <w:rPr>
          <w:rFonts w:ascii="Gill Sans MT" w:hAnsi="Gill Sans MT"/>
        </w:rPr>
        <w:t xml:space="preserve"> to develop these key points:</w:t>
      </w:r>
    </w:p>
    <w:p w:rsidR="005A0701" w:rsidRPr="0017105E" w:rsidRDefault="005A0701" w:rsidP="005A0701">
      <w:pPr>
        <w:spacing w:after="0" w:line="240" w:lineRule="auto"/>
        <w:rPr>
          <w:rFonts w:ascii="Gill Sans MT" w:hAnsi="Gill Sans MT"/>
        </w:rPr>
      </w:pPr>
    </w:p>
    <w:p w:rsidR="005A0701" w:rsidRPr="005E22B4" w:rsidRDefault="005A0701" w:rsidP="005A0701">
      <w:pPr>
        <w:pStyle w:val="ListParagraph"/>
        <w:numPr>
          <w:ilvl w:val="0"/>
          <w:numId w:val="19"/>
        </w:numPr>
        <w:spacing w:after="0" w:line="240" w:lineRule="auto"/>
        <w:rPr>
          <w:rFonts w:ascii="Gill Sans MT" w:hAnsi="Gill Sans MT"/>
        </w:rPr>
      </w:pPr>
      <w:r w:rsidRPr="0017105E">
        <w:rPr>
          <w:rFonts w:ascii="Gill Sans MT" w:hAnsi="Gill Sans MT"/>
          <w:b/>
        </w:rPr>
        <w:t xml:space="preserve">The </w:t>
      </w:r>
      <w:r w:rsidR="005E22B4">
        <w:rPr>
          <w:rFonts w:ascii="Gill Sans MT" w:hAnsi="Gill Sans MT"/>
          <w:b/>
        </w:rPr>
        <w:t>OSS</w:t>
      </w:r>
      <w:r w:rsidRPr="0017105E">
        <w:rPr>
          <w:rFonts w:ascii="Gill Sans MT" w:hAnsi="Gill Sans MT"/>
          <w:b/>
        </w:rPr>
        <w:t xml:space="preserve"> Unique Selling </w:t>
      </w:r>
      <w:r w:rsidR="003F1406">
        <w:rPr>
          <w:rFonts w:ascii="Gill Sans MT" w:hAnsi="Gill Sans MT"/>
          <w:b/>
        </w:rPr>
        <w:t>Proposition</w:t>
      </w:r>
      <w:r w:rsidRPr="0017105E">
        <w:rPr>
          <w:rFonts w:ascii="Gill Sans MT" w:hAnsi="Gill Sans MT"/>
        </w:rPr>
        <w:t xml:space="preserve"> </w:t>
      </w:r>
      <w:r w:rsidR="003F1406">
        <w:rPr>
          <w:rFonts w:ascii="Gill Sans MT" w:hAnsi="Gill Sans MT"/>
        </w:rPr>
        <w:t>–</w:t>
      </w:r>
      <w:r w:rsidRPr="0017105E">
        <w:rPr>
          <w:rFonts w:ascii="Gill Sans MT" w:hAnsi="Gill Sans MT"/>
        </w:rPr>
        <w:t xml:space="preserve"> </w:t>
      </w:r>
      <w:r w:rsidR="003F1406">
        <w:rPr>
          <w:rFonts w:ascii="Gill Sans MT" w:hAnsi="Gill Sans MT"/>
        </w:rPr>
        <w:t>Corporate giving has been falling and those</w:t>
      </w:r>
      <w:r w:rsidRPr="0017105E">
        <w:rPr>
          <w:rFonts w:ascii="Gill Sans MT" w:hAnsi="Gill Sans MT"/>
        </w:rPr>
        <w:t xml:space="preserve"> successful in this </w:t>
      </w:r>
      <w:r w:rsidR="003F1406">
        <w:rPr>
          <w:rFonts w:ascii="Gill Sans MT" w:hAnsi="Gill Sans MT"/>
        </w:rPr>
        <w:t>area</w:t>
      </w:r>
      <w:r w:rsidRPr="0017105E">
        <w:rPr>
          <w:rFonts w:ascii="Gill Sans MT" w:hAnsi="Gill Sans MT"/>
        </w:rPr>
        <w:t xml:space="preserve"> deploy creative thinking and </w:t>
      </w:r>
      <w:r w:rsidR="003F1406">
        <w:rPr>
          <w:rFonts w:ascii="Gill Sans MT" w:hAnsi="Gill Sans MT"/>
        </w:rPr>
        <w:t>resource</w:t>
      </w:r>
      <w:r w:rsidRPr="0017105E">
        <w:rPr>
          <w:rFonts w:ascii="Gill Sans MT" w:hAnsi="Gill Sans MT"/>
        </w:rPr>
        <w:t xml:space="preserve"> into each corporate lead.  Research in 2014, indicated that on average, a major UK company will receive 50 approaches a week from charities wanting help</w:t>
      </w:r>
      <w:r w:rsidR="003F1406">
        <w:rPr>
          <w:rFonts w:ascii="Gill Sans MT" w:hAnsi="Gill Sans MT"/>
        </w:rPr>
        <w:t xml:space="preserve">, so </w:t>
      </w:r>
      <w:r>
        <w:rPr>
          <w:rFonts w:ascii="Gill Sans MT" w:hAnsi="Gill Sans MT"/>
        </w:rPr>
        <w:t>OSS</w:t>
      </w:r>
      <w:r w:rsidRPr="0017105E">
        <w:rPr>
          <w:rFonts w:ascii="Gill Sans MT" w:hAnsi="Gill Sans MT"/>
        </w:rPr>
        <w:t xml:space="preserve"> </w:t>
      </w:r>
      <w:r w:rsidR="003F1406">
        <w:rPr>
          <w:rFonts w:ascii="Gill Sans MT" w:hAnsi="Gill Sans MT"/>
        </w:rPr>
        <w:t>has developed a strong base case to stand out from the crowd</w:t>
      </w:r>
      <w:r>
        <w:rPr>
          <w:rFonts w:ascii="Gill Sans MT" w:hAnsi="Gill Sans MT"/>
        </w:rPr>
        <w:t>.</w:t>
      </w:r>
      <w:r w:rsidR="005E22B4">
        <w:rPr>
          <w:rFonts w:ascii="Gill Sans MT" w:hAnsi="Gill Sans MT"/>
        </w:rPr>
        <w:t xml:space="preserve"> </w:t>
      </w:r>
      <w:r w:rsidR="003F1406" w:rsidRPr="005E22B4">
        <w:rPr>
          <w:rFonts w:ascii="Gill Sans MT" w:hAnsi="Gill Sans MT"/>
        </w:rPr>
        <w:t>Fewer companies</w:t>
      </w:r>
      <w:r w:rsidRPr="005E22B4">
        <w:rPr>
          <w:rFonts w:ascii="Gill Sans MT" w:hAnsi="Gill Sans MT"/>
        </w:rPr>
        <w:t xml:space="preserve"> </w:t>
      </w:r>
      <w:r w:rsidR="003F1406" w:rsidRPr="005E22B4">
        <w:rPr>
          <w:rFonts w:ascii="Gill Sans MT" w:hAnsi="Gill Sans MT"/>
        </w:rPr>
        <w:t>appear now to</w:t>
      </w:r>
      <w:r w:rsidRPr="005E22B4">
        <w:rPr>
          <w:rFonts w:ascii="Gill Sans MT" w:hAnsi="Gill Sans MT"/>
        </w:rPr>
        <w:t xml:space="preserve"> </w:t>
      </w:r>
      <w:r w:rsidR="003F1406" w:rsidRPr="005E22B4">
        <w:rPr>
          <w:rFonts w:ascii="Gill Sans MT" w:hAnsi="Gill Sans MT"/>
        </w:rPr>
        <w:t>support</w:t>
      </w:r>
      <w:r w:rsidRPr="005E22B4">
        <w:rPr>
          <w:rFonts w:ascii="Gill Sans MT" w:hAnsi="Gill Sans MT"/>
        </w:rPr>
        <w:t xml:space="preserve"> arts, heritage and sports activity, </w:t>
      </w:r>
      <w:r w:rsidR="003F1406" w:rsidRPr="005E22B4">
        <w:rPr>
          <w:rFonts w:ascii="Gill Sans MT" w:hAnsi="Gill Sans MT"/>
        </w:rPr>
        <w:t>and most</w:t>
      </w:r>
      <w:r w:rsidRPr="005E22B4">
        <w:rPr>
          <w:rFonts w:ascii="Gill Sans MT" w:hAnsi="Gill Sans MT"/>
        </w:rPr>
        <w:t xml:space="preserve"> look for deeper and meaningful relationships with the charities they support. OSS </w:t>
      </w:r>
      <w:r w:rsidR="003F1406" w:rsidRPr="005E22B4">
        <w:rPr>
          <w:rFonts w:ascii="Gill Sans MT" w:hAnsi="Gill Sans MT"/>
        </w:rPr>
        <w:t>is seeking</w:t>
      </w:r>
      <w:r w:rsidRPr="005E22B4">
        <w:rPr>
          <w:rFonts w:ascii="Gill Sans MT" w:hAnsi="Gill Sans MT"/>
        </w:rPr>
        <w:t xml:space="preserve"> </w:t>
      </w:r>
      <w:r w:rsidR="003F1406" w:rsidRPr="005E22B4">
        <w:rPr>
          <w:rFonts w:ascii="Gill Sans MT" w:hAnsi="Gill Sans MT"/>
        </w:rPr>
        <w:t>to develop its offer</w:t>
      </w:r>
      <w:r w:rsidRPr="005E22B4">
        <w:rPr>
          <w:rFonts w:ascii="Gill Sans MT" w:hAnsi="Gill Sans MT"/>
        </w:rPr>
        <w:t xml:space="preserve"> back to companies in terms of employee engagement and supporting companies in achieving the </w:t>
      </w:r>
      <w:r w:rsidR="003F1406" w:rsidRPr="005E22B4">
        <w:rPr>
          <w:rFonts w:ascii="Gill Sans MT" w:hAnsi="Gill Sans MT"/>
        </w:rPr>
        <w:t>CSR</w:t>
      </w:r>
      <w:r w:rsidRPr="005E22B4">
        <w:rPr>
          <w:rFonts w:ascii="Gill Sans MT" w:hAnsi="Gill Sans MT"/>
        </w:rPr>
        <w:t xml:space="preserve"> strategies.</w:t>
      </w:r>
    </w:p>
    <w:p w:rsidR="005A0701" w:rsidRPr="0017105E" w:rsidRDefault="005A0701" w:rsidP="005A0701">
      <w:pPr>
        <w:pStyle w:val="ListParagraph"/>
        <w:spacing w:after="0" w:line="240" w:lineRule="auto"/>
        <w:rPr>
          <w:rFonts w:ascii="Gill Sans MT" w:hAnsi="Gill Sans MT"/>
        </w:rPr>
      </w:pPr>
    </w:p>
    <w:p w:rsidR="005A0701" w:rsidRDefault="003F1406" w:rsidP="003F1406">
      <w:pPr>
        <w:pStyle w:val="ListParagraph"/>
        <w:numPr>
          <w:ilvl w:val="0"/>
          <w:numId w:val="19"/>
        </w:numPr>
        <w:spacing w:after="0" w:line="240" w:lineRule="auto"/>
        <w:rPr>
          <w:rFonts w:ascii="Gill Sans MT" w:hAnsi="Gill Sans MT"/>
        </w:rPr>
      </w:pPr>
      <w:r>
        <w:rPr>
          <w:rFonts w:ascii="Gill Sans MT" w:hAnsi="Gill Sans MT"/>
          <w:b/>
        </w:rPr>
        <w:t>Research</w:t>
      </w:r>
      <w:r w:rsidR="005A0701" w:rsidRPr="003F1406">
        <w:rPr>
          <w:rFonts w:ascii="Gill Sans MT" w:hAnsi="Gill Sans MT"/>
        </w:rPr>
        <w:t xml:space="preserve"> </w:t>
      </w:r>
      <w:r w:rsidRPr="003F1406">
        <w:rPr>
          <w:rFonts w:ascii="Gill Sans MT" w:hAnsi="Gill Sans MT"/>
        </w:rPr>
        <w:t>–</w:t>
      </w:r>
      <w:r w:rsidR="005A0701" w:rsidRPr="003F1406">
        <w:rPr>
          <w:rFonts w:ascii="Gill Sans MT" w:hAnsi="Gill Sans MT"/>
        </w:rPr>
        <w:t xml:space="preserve"> </w:t>
      </w:r>
      <w:r w:rsidRPr="003F1406">
        <w:rPr>
          <w:rFonts w:ascii="Gill Sans MT" w:hAnsi="Gill Sans MT"/>
        </w:rPr>
        <w:t>OSS is undertaking a new approach to research across the Fundraising Committee, involving staff and volunteers, both in identifying routes into corporates and influencers close to them.</w:t>
      </w:r>
      <w:r w:rsidR="005A0701" w:rsidRPr="003F1406">
        <w:rPr>
          <w:rFonts w:ascii="Gill Sans MT" w:hAnsi="Gill Sans MT"/>
        </w:rPr>
        <w:t xml:space="preserve"> </w:t>
      </w:r>
      <w:r w:rsidRPr="003F1406">
        <w:rPr>
          <w:rFonts w:ascii="Gill Sans MT" w:hAnsi="Gill Sans MT"/>
        </w:rPr>
        <w:t>The development of robust</w:t>
      </w:r>
      <w:r w:rsidR="005A0701" w:rsidRPr="003F1406">
        <w:rPr>
          <w:rFonts w:ascii="Gill Sans MT" w:hAnsi="Gill Sans MT"/>
        </w:rPr>
        <w:t xml:space="preserve"> strategies and plans </w:t>
      </w:r>
      <w:r w:rsidRPr="003F1406">
        <w:rPr>
          <w:rFonts w:ascii="Gill Sans MT" w:hAnsi="Gill Sans MT"/>
        </w:rPr>
        <w:t>are designed to ensure a level of professionalism required by many corporates, and trusts and foundations.</w:t>
      </w:r>
    </w:p>
    <w:p w:rsidR="003F1406" w:rsidRPr="0017105E" w:rsidRDefault="003F1406" w:rsidP="003F1406">
      <w:pPr>
        <w:pStyle w:val="ListParagraph"/>
        <w:spacing w:after="0" w:line="240" w:lineRule="auto"/>
        <w:rPr>
          <w:rFonts w:ascii="Gill Sans MT" w:hAnsi="Gill Sans MT"/>
        </w:rPr>
      </w:pPr>
    </w:p>
    <w:p w:rsidR="005A0701" w:rsidRPr="0017105E" w:rsidRDefault="005A0701" w:rsidP="005A0701">
      <w:pPr>
        <w:pStyle w:val="ListParagraph"/>
        <w:numPr>
          <w:ilvl w:val="0"/>
          <w:numId w:val="19"/>
        </w:numPr>
        <w:spacing w:after="0" w:line="240" w:lineRule="auto"/>
        <w:rPr>
          <w:rFonts w:ascii="Gill Sans MT" w:hAnsi="Gill Sans MT"/>
        </w:rPr>
      </w:pPr>
      <w:r w:rsidRPr="0017105E">
        <w:rPr>
          <w:rFonts w:ascii="Gill Sans MT" w:hAnsi="Gill Sans MT"/>
          <w:b/>
        </w:rPr>
        <w:t>Corporate Stewardship</w:t>
      </w:r>
      <w:r w:rsidRPr="0017105E">
        <w:rPr>
          <w:rFonts w:ascii="Gill Sans MT" w:hAnsi="Gill Sans MT"/>
        </w:rPr>
        <w:t xml:space="preserve"> –</w:t>
      </w:r>
      <w:r w:rsidR="003F1406">
        <w:rPr>
          <w:rFonts w:ascii="Gill Sans MT" w:hAnsi="Gill Sans MT"/>
        </w:rPr>
        <w:t xml:space="preserve"> </w:t>
      </w:r>
      <w:r>
        <w:rPr>
          <w:rFonts w:ascii="Gill Sans MT" w:hAnsi="Gill Sans MT"/>
        </w:rPr>
        <w:t xml:space="preserve">OSS </w:t>
      </w:r>
      <w:r w:rsidR="003F1406">
        <w:rPr>
          <w:rFonts w:ascii="Gill Sans MT" w:hAnsi="Gill Sans MT"/>
        </w:rPr>
        <w:t>is developing a stronger suite of benefits for corporates, linked to their peculiar requirements, and seeking to improve stewardship through the policies outlined above.</w:t>
      </w:r>
    </w:p>
    <w:p w:rsidR="005A0701" w:rsidRPr="0017105E" w:rsidRDefault="005A0701" w:rsidP="005A0701">
      <w:pPr>
        <w:spacing w:after="0" w:line="240" w:lineRule="auto"/>
        <w:rPr>
          <w:rFonts w:ascii="Gill Sans MT" w:hAnsi="Gill Sans MT"/>
        </w:rPr>
      </w:pPr>
    </w:p>
    <w:p w:rsidR="00D83075" w:rsidRDefault="00D83075" w:rsidP="005A0701">
      <w:pPr>
        <w:spacing w:after="0" w:line="240" w:lineRule="auto"/>
        <w:rPr>
          <w:rFonts w:ascii="Gill Sans MT" w:hAnsi="Gill Sans MT"/>
        </w:rPr>
      </w:pPr>
      <w:r>
        <w:rPr>
          <w:rFonts w:ascii="Gill Sans MT" w:hAnsi="Gill Sans MT"/>
        </w:rPr>
        <w:t>The OSS launched a Corporate Supporter Scheme in 2019 with the following levels:</w:t>
      </w:r>
    </w:p>
    <w:p w:rsidR="00D83075" w:rsidRPr="00D83075" w:rsidRDefault="00D83075" w:rsidP="00D83075">
      <w:pPr>
        <w:pStyle w:val="ListParagraph"/>
        <w:numPr>
          <w:ilvl w:val="0"/>
          <w:numId w:val="21"/>
        </w:numPr>
        <w:spacing w:after="0" w:line="240" w:lineRule="auto"/>
        <w:rPr>
          <w:rFonts w:ascii="Gill Sans MT" w:hAnsi="Gill Sans MT"/>
        </w:rPr>
      </w:pPr>
      <w:r w:rsidRPr="00D83075">
        <w:rPr>
          <w:rFonts w:ascii="Gill Sans MT" w:hAnsi="Gill Sans MT"/>
        </w:rPr>
        <w:t>Gold</w:t>
      </w:r>
      <w:r>
        <w:rPr>
          <w:rFonts w:ascii="Gill Sans MT" w:hAnsi="Gill Sans MT"/>
        </w:rPr>
        <w:t xml:space="preserve"> – £2500+</w:t>
      </w:r>
    </w:p>
    <w:p w:rsidR="00D83075" w:rsidRDefault="00D83075" w:rsidP="00D83075">
      <w:pPr>
        <w:pStyle w:val="ListParagraph"/>
        <w:numPr>
          <w:ilvl w:val="0"/>
          <w:numId w:val="21"/>
        </w:numPr>
        <w:spacing w:after="0" w:line="240" w:lineRule="auto"/>
        <w:rPr>
          <w:rFonts w:ascii="Gill Sans MT" w:hAnsi="Gill Sans MT"/>
        </w:rPr>
      </w:pPr>
      <w:r w:rsidRPr="00D83075">
        <w:rPr>
          <w:rFonts w:ascii="Gill Sans MT" w:hAnsi="Gill Sans MT"/>
        </w:rPr>
        <w:t xml:space="preserve">Silver </w:t>
      </w:r>
      <w:r>
        <w:rPr>
          <w:rFonts w:ascii="Gill Sans MT" w:hAnsi="Gill Sans MT"/>
        </w:rPr>
        <w:t>- £1500-£2499</w:t>
      </w:r>
    </w:p>
    <w:p w:rsidR="00D83075" w:rsidRDefault="00D83075" w:rsidP="00D83075">
      <w:pPr>
        <w:pStyle w:val="ListParagraph"/>
        <w:numPr>
          <w:ilvl w:val="0"/>
          <w:numId w:val="21"/>
        </w:numPr>
        <w:spacing w:after="0" w:line="240" w:lineRule="auto"/>
        <w:rPr>
          <w:rFonts w:ascii="Gill Sans MT" w:hAnsi="Gill Sans MT"/>
        </w:rPr>
      </w:pPr>
      <w:r w:rsidRPr="00D83075">
        <w:rPr>
          <w:rFonts w:ascii="Gill Sans MT" w:hAnsi="Gill Sans MT"/>
        </w:rPr>
        <w:t xml:space="preserve">Bronze </w:t>
      </w:r>
      <w:r>
        <w:rPr>
          <w:rFonts w:ascii="Gill Sans MT" w:hAnsi="Gill Sans MT"/>
        </w:rPr>
        <w:t>- £500-£1499</w:t>
      </w:r>
    </w:p>
    <w:p w:rsidR="00D83075" w:rsidRDefault="00D83075" w:rsidP="00D83075">
      <w:pPr>
        <w:spacing w:after="0" w:line="240" w:lineRule="auto"/>
        <w:rPr>
          <w:rFonts w:ascii="Gill Sans MT" w:hAnsi="Gill Sans MT"/>
        </w:rPr>
      </w:pPr>
    </w:p>
    <w:p w:rsidR="00D83075" w:rsidRDefault="00D83075" w:rsidP="00D83075">
      <w:pPr>
        <w:spacing w:after="0" w:line="240" w:lineRule="auto"/>
        <w:rPr>
          <w:rFonts w:ascii="Gill Sans MT" w:hAnsi="Gill Sans MT"/>
        </w:rPr>
      </w:pPr>
      <w:r>
        <w:rPr>
          <w:rFonts w:ascii="Gill Sans MT" w:hAnsi="Gill Sans MT"/>
        </w:rPr>
        <w:t xml:space="preserve">Companies </w:t>
      </w:r>
      <w:r w:rsidRPr="00D83075">
        <w:rPr>
          <w:rFonts w:ascii="Gill Sans MT" w:hAnsi="Gill Sans MT"/>
        </w:rPr>
        <w:t>receive a range of benefits, including website mention, research information, invitations to events</w:t>
      </w:r>
      <w:r>
        <w:rPr>
          <w:rFonts w:ascii="Gill Sans MT" w:hAnsi="Gill Sans MT"/>
        </w:rPr>
        <w:t>, private briefings</w:t>
      </w:r>
      <w:r w:rsidRPr="00D83075">
        <w:rPr>
          <w:rFonts w:ascii="Gill Sans MT" w:hAnsi="Gill Sans MT"/>
        </w:rPr>
        <w:t xml:space="preserve"> and regular communication</w:t>
      </w:r>
      <w:r>
        <w:rPr>
          <w:rFonts w:ascii="Gill Sans MT" w:hAnsi="Gill Sans MT"/>
        </w:rPr>
        <w:t>. A target for 2020 is a stronger communications approach to market these levels on the website and social media.</w:t>
      </w:r>
    </w:p>
    <w:p w:rsidR="00D83075" w:rsidRDefault="00D83075" w:rsidP="00D83075">
      <w:pPr>
        <w:pStyle w:val="Subtitle"/>
      </w:pPr>
    </w:p>
    <w:p w:rsidR="00D83075" w:rsidRPr="00C41399" w:rsidRDefault="00D83075" w:rsidP="00D83075">
      <w:pPr>
        <w:pStyle w:val="Subtitle"/>
        <w:rPr>
          <w:rFonts w:ascii="Gill Sans MT" w:hAnsi="Gill Sans MT"/>
          <w:b/>
          <w:color w:val="2F5496" w:themeColor="accent1" w:themeShade="BF"/>
        </w:rPr>
      </w:pPr>
      <w:r w:rsidRPr="00C41399">
        <w:rPr>
          <w:rFonts w:ascii="Gill Sans MT" w:hAnsi="Gill Sans MT"/>
          <w:b/>
          <w:color w:val="2F5496" w:themeColor="accent1" w:themeShade="BF"/>
        </w:rPr>
        <w:t>Corporate Sponsorship</w:t>
      </w:r>
    </w:p>
    <w:p w:rsidR="00D83075" w:rsidRPr="0017105E" w:rsidRDefault="00D83075" w:rsidP="00D83075">
      <w:pPr>
        <w:spacing w:after="0" w:line="240" w:lineRule="auto"/>
        <w:rPr>
          <w:rFonts w:ascii="Gill Sans MT" w:hAnsi="Gill Sans MT"/>
        </w:rPr>
      </w:pPr>
      <w:r w:rsidRPr="0017105E">
        <w:rPr>
          <w:rFonts w:ascii="Gill Sans MT" w:hAnsi="Gill Sans MT"/>
        </w:rPr>
        <w:t>Some companies want to sponsor a project because they believe in the concept of supporting the local community at grassroots level</w:t>
      </w:r>
      <w:r>
        <w:rPr>
          <w:rFonts w:ascii="Gill Sans MT" w:hAnsi="Gill Sans MT"/>
        </w:rPr>
        <w:t xml:space="preserve"> while </w:t>
      </w:r>
      <w:r w:rsidRPr="0017105E">
        <w:rPr>
          <w:rFonts w:ascii="Gill Sans MT" w:hAnsi="Gill Sans MT"/>
        </w:rPr>
        <w:t>other companies want to increase their profile in the local community</w:t>
      </w:r>
      <w:r>
        <w:rPr>
          <w:rFonts w:ascii="Gill Sans MT" w:hAnsi="Gill Sans MT"/>
        </w:rPr>
        <w:t xml:space="preserve">; </w:t>
      </w:r>
      <w:r w:rsidRPr="0017105E">
        <w:rPr>
          <w:rFonts w:ascii="Gill Sans MT" w:hAnsi="Gill Sans MT"/>
        </w:rPr>
        <w:t xml:space="preserve">some want to boost their corporate social responsibility credentials and others to increase staff morale and retention and employ volunteering activities as ways to do this. </w:t>
      </w:r>
      <w:r>
        <w:rPr>
          <w:rFonts w:ascii="Gill Sans MT" w:hAnsi="Gill Sans MT"/>
        </w:rPr>
        <w:t>But t</w:t>
      </w:r>
      <w:r w:rsidRPr="0017105E">
        <w:rPr>
          <w:rFonts w:ascii="Gill Sans MT" w:hAnsi="Gill Sans MT"/>
        </w:rPr>
        <w:t xml:space="preserve">here is always a reason for what they do, and </w:t>
      </w:r>
      <w:r>
        <w:rPr>
          <w:rFonts w:ascii="Gill Sans MT" w:hAnsi="Gill Sans MT"/>
        </w:rPr>
        <w:t>OSS</w:t>
      </w:r>
      <w:r w:rsidRPr="0017105E">
        <w:rPr>
          <w:rFonts w:ascii="Gill Sans MT" w:hAnsi="Gill Sans MT"/>
        </w:rPr>
        <w:t xml:space="preserve"> </w:t>
      </w:r>
      <w:r>
        <w:rPr>
          <w:rFonts w:ascii="Gill Sans MT" w:hAnsi="Gill Sans MT"/>
        </w:rPr>
        <w:t>uses research to establish what those reasons are.</w:t>
      </w:r>
    </w:p>
    <w:p w:rsidR="00D83075" w:rsidRPr="0017105E" w:rsidRDefault="00D83075" w:rsidP="00D83075">
      <w:pPr>
        <w:spacing w:after="0" w:line="240" w:lineRule="auto"/>
        <w:rPr>
          <w:rFonts w:ascii="Gill Sans MT" w:hAnsi="Gill Sans MT"/>
        </w:rPr>
      </w:pPr>
    </w:p>
    <w:p w:rsidR="00D83075" w:rsidRPr="0017105E" w:rsidRDefault="00D83075" w:rsidP="00D83075">
      <w:pPr>
        <w:spacing w:after="0" w:line="240" w:lineRule="auto"/>
        <w:rPr>
          <w:rFonts w:ascii="Gill Sans MT" w:hAnsi="Gill Sans MT"/>
        </w:rPr>
      </w:pPr>
      <w:r w:rsidRPr="0017105E">
        <w:rPr>
          <w:rFonts w:ascii="Gill Sans MT" w:hAnsi="Gill Sans MT"/>
        </w:rPr>
        <w:t xml:space="preserve">Benefits for sponsorship </w:t>
      </w:r>
      <w:r>
        <w:rPr>
          <w:rFonts w:ascii="Gill Sans MT" w:hAnsi="Gill Sans MT"/>
        </w:rPr>
        <w:t>to be considered include:</w:t>
      </w:r>
    </w:p>
    <w:p w:rsidR="00D83075" w:rsidRPr="0017105E" w:rsidRDefault="00D83075" w:rsidP="00D83075">
      <w:pPr>
        <w:pStyle w:val="ListParagraph"/>
        <w:numPr>
          <w:ilvl w:val="0"/>
          <w:numId w:val="20"/>
        </w:numPr>
        <w:spacing w:after="0" w:line="240" w:lineRule="auto"/>
        <w:rPr>
          <w:rFonts w:ascii="Gill Sans MT" w:hAnsi="Gill Sans MT"/>
        </w:rPr>
      </w:pPr>
      <w:r w:rsidRPr="0017105E">
        <w:rPr>
          <w:rFonts w:ascii="Gill Sans MT" w:hAnsi="Gill Sans MT"/>
        </w:rPr>
        <w:t xml:space="preserve">Naming rights associated with </w:t>
      </w:r>
      <w:r>
        <w:rPr>
          <w:rFonts w:ascii="Gill Sans MT" w:hAnsi="Gill Sans MT"/>
        </w:rPr>
        <w:t xml:space="preserve">the National Survey or different programmes of research. </w:t>
      </w:r>
      <w:r w:rsidRPr="0017105E">
        <w:rPr>
          <w:rFonts w:ascii="Gill Sans MT" w:hAnsi="Gill Sans MT"/>
        </w:rPr>
        <w:t xml:space="preserve">This requires some thought and discussion to see what </w:t>
      </w:r>
      <w:r>
        <w:rPr>
          <w:rFonts w:ascii="Gill Sans MT" w:hAnsi="Gill Sans MT"/>
        </w:rPr>
        <w:t xml:space="preserve">OSS </w:t>
      </w:r>
      <w:r w:rsidRPr="0017105E">
        <w:rPr>
          <w:rFonts w:ascii="Gill Sans MT" w:hAnsi="Gill Sans MT"/>
        </w:rPr>
        <w:t>will accept in terms of naming rights and how this should be delivered.</w:t>
      </w:r>
    </w:p>
    <w:p w:rsidR="00D83075" w:rsidRPr="0017105E" w:rsidRDefault="00D83075" w:rsidP="00D83075">
      <w:pPr>
        <w:pStyle w:val="ListParagraph"/>
        <w:numPr>
          <w:ilvl w:val="0"/>
          <w:numId w:val="20"/>
        </w:numPr>
        <w:spacing w:after="0" w:line="240" w:lineRule="auto"/>
        <w:rPr>
          <w:rFonts w:ascii="Gill Sans MT" w:hAnsi="Gill Sans MT"/>
        </w:rPr>
      </w:pPr>
      <w:r w:rsidRPr="0017105E">
        <w:rPr>
          <w:rFonts w:ascii="Gill Sans MT" w:hAnsi="Gill Sans MT"/>
        </w:rPr>
        <w:t xml:space="preserve">Annual high-profile </w:t>
      </w:r>
      <w:r>
        <w:rPr>
          <w:rFonts w:ascii="Gill Sans MT" w:hAnsi="Gill Sans MT"/>
        </w:rPr>
        <w:t>OSS S</w:t>
      </w:r>
      <w:r w:rsidRPr="0017105E">
        <w:rPr>
          <w:rFonts w:ascii="Gill Sans MT" w:hAnsi="Gill Sans MT"/>
        </w:rPr>
        <w:t xml:space="preserve">upporters </w:t>
      </w:r>
      <w:r>
        <w:rPr>
          <w:rFonts w:ascii="Gill Sans MT" w:hAnsi="Gill Sans MT"/>
        </w:rPr>
        <w:t>D</w:t>
      </w:r>
      <w:r w:rsidRPr="0017105E">
        <w:rPr>
          <w:rFonts w:ascii="Gill Sans MT" w:hAnsi="Gill Sans MT"/>
        </w:rPr>
        <w:t xml:space="preserve">inner </w:t>
      </w:r>
      <w:r>
        <w:rPr>
          <w:rFonts w:ascii="Gill Sans MT" w:hAnsi="Gill Sans MT"/>
        </w:rPr>
        <w:t xml:space="preserve">at a prestigious </w:t>
      </w:r>
      <w:r w:rsidRPr="0017105E">
        <w:rPr>
          <w:rFonts w:ascii="Gill Sans MT" w:hAnsi="Gill Sans MT"/>
        </w:rPr>
        <w:t>venue featuring celebrity speakers (</w:t>
      </w:r>
      <w:r>
        <w:rPr>
          <w:rFonts w:ascii="Gill Sans MT" w:hAnsi="Gill Sans MT"/>
        </w:rPr>
        <w:t xml:space="preserve">which </w:t>
      </w:r>
      <w:r w:rsidRPr="0017105E">
        <w:rPr>
          <w:rFonts w:ascii="Gill Sans MT" w:hAnsi="Gill Sans MT"/>
        </w:rPr>
        <w:t xml:space="preserve">in turn could be sponsored by corporates). </w:t>
      </w:r>
    </w:p>
    <w:p w:rsidR="00D83075" w:rsidRDefault="00D83075" w:rsidP="00D83075">
      <w:pPr>
        <w:pStyle w:val="ListParagraph"/>
        <w:numPr>
          <w:ilvl w:val="0"/>
          <w:numId w:val="20"/>
        </w:numPr>
        <w:spacing w:after="0" w:line="240" w:lineRule="auto"/>
        <w:rPr>
          <w:rFonts w:ascii="Gill Sans MT" w:hAnsi="Gill Sans MT"/>
        </w:rPr>
      </w:pPr>
      <w:r w:rsidRPr="0017105E">
        <w:rPr>
          <w:rFonts w:ascii="Gill Sans MT" w:hAnsi="Gill Sans MT"/>
        </w:rPr>
        <w:t xml:space="preserve">Volunteering </w:t>
      </w:r>
      <w:r>
        <w:rPr>
          <w:rFonts w:ascii="Gill Sans MT" w:hAnsi="Gill Sans MT"/>
        </w:rPr>
        <w:t xml:space="preserve">and mentoring </w:t>
      </w:r>
      <w:r w:rsidRPr="0017105E">
        <w:rPr>
          <w:rFonts w:ascii="Gill Sans MT" w:hAnsi="Gill Sans MT"/>
        </w:rPr>
        <w:t xml:space="preserve">opportunities for company staff </w:t>
      </w:r>
      <w:r>
        <w:rPr>
          <w:rFonts w:ascii="Gill Sans MT" w:hAnsi="Gill Sans MT"/>
        </w:rPr>
        <w:t>– increasingly important to companies.</w:t>
      </w:r>
    </w:p>
    <w:p w:rsidR="00D83075" w:rsidRPr="0017105E" w:rsidRDefault="00D83075" w:rsidP="00D83075">
      <w:pPr>
        <w:pStyle w:val="ListParagraph"/>
        <w:numPr>
          <w:ilvl w:val="0"/>
          <w:numId w:val="21"/>
        </w:numPr>
        <w:spacing w:after="0" w:line="240" w:lineRule="auto"/>
        <w:rPr>
          <w:rFonts w:ascii="Gill Sans MT" w:hAnsi="Gill Sans MT"/>
        </w:rPr>
      </w:pPr>
      <w:r w:rsidRPr="0017105E">
        <w:rPr>
          <w:rFonts w:ascii="Gill Sans MT" w:hAnsi="Gill Sans MT"/>
        </w:rPr>
        <w:t>Branding of company logos in promotional material for events.</w:t>
      </w:r>
    </w:p>
    <w:p w:rsidR="00D83075" w:rsidRPr="0017105E" w:rsidRDefault="00D83075" w:rsidP="00D83075">
      <w:pPr>
        <w:pStyle w:val="ListParagraph"/>
        <w:numPr>
          <w:ilvl w:val="0"/>
          <w:numId w:val="21"/>
        </w:numPr>
        <w:spacing w:after="0" w:line="240" w:lineRule="auto"/>
        <w:rPr>
          <w:rFonts w:ascii="Gill Sans MT" w:hAnsi="Gill Sans MT"/>
        </w:rPr>
      </w:pPr>
      <w:r w:rsidRPr="0017105E">
        <w:rPr>
          <w:rFonts w:ascii="Gill Sans MT" w:hAnsi="Gill Sans MT"/>
        </w:rPr>
        <w:t>Sponsorship deals for main events</w:t>
      </w:r>
    </w:p>
    <w:p w:rsidR="00D83075" w:rsidRPr="0017105E" w:rsidRDefault="00D83075" w:rsidP="00D83075">
      <w:pPr>
        <w:pStyle w:val="ListParagraph"/>
        <w:numPr>
          <w:ilvl w:val="0"/>
          <w:numId w:val="21"/>
        </w:numPr>
        <w:spacing w:after="0" w:line="240" w:lineRule="auto"/>
        <w:rPr>
          <w:rFonts w:ascii="Gill Sans MT" w:hAnsi="Gill Sans MT"/>
        </w:rPr>
      </w:pPr>
      <w:r w:rsidRPr="0017105E">
        <w:rPr>
          <w:rFonts w:ascii="Gill Sans MT" w:hAnsi="Gill Sans MT"/>
        </w:rPr>
        <w:t>Media articles to promote events and publicise good work.</w:t>
      </w:r>
    </w:p>
    <w:p w:rsidR="00D83075" w:rsidRDefault="00D83075" w:rsidP="00D83075">
      <w:pPr>
        <w:spacing w:after="0" w:line="240" w:lineRule="auto"/>
        <w:rPr>
          <w:rFonts w:ascii="Gill Sans MT" w:hAnsi="Gill Sans MT"/>
        </w:rPr>
      </w:pPr>
    </w:p>
    <w:p w:rsidR="005E22B4" w:rsidRPr="00D83075" w:rsidRDefault="005E22B4" w:rsidP="00D83075">
      <w:pPr>
        <w:spacing w:after="0" w:line="240" w:lineRule="auto"/>
        <w:rPr>
          <w:rFonts w:ascii="Gill Sans MT" w:hAnsi="Gill Sans MT"/>
        </w:rPr>
      </w:pPr>
    </w:p>
    <w:p w:rsidR="005A0701" w:rsidRPr="00C41399" w:rsidRDefault="005A0701" w:rsidP="005A0701">
      <w:pPr>
        <w:pStyle w:val="Heading2"/>
        <w:rPr>
          <w:rFonts w:ascii="Gill Sans MT" w:hAnsi="Gill Sans MT"/>
          <w:b/>
          <w:bCs/>
          <w:sz w:val="24"/>
          <w:szCs w:val="24"/>
        </w:rPr>
      </w:pPr>
      <w:bookmarkStart w:id="7" w:name="_Toc41610209"/>
      <w:r w:rsidRPr="00C41399">
        <w:rPr>
          <w:rFonts w:ascii="Gill Sans MT" w:hAnsi="Gill Sans MT"/>
          <w:b/>
          <w:bCs/>
          <w:sz w:val="24"/>
          <w:szCs w:val="24"/>
        </w:rPr>
        <w:t xml:space="preserve">Trust </w:t>
      </w:r>
      <w:r w:rsidR="00E34E90">
        <w:rPr>
          <w:rFonts w:ascii="Gill Sans MT" w:hAnsi="Gill Sans MT"/>
          <w:b/>
          <w:bCs/>
          <w:sz w:val="24"/>
          <w:szCs w:val="24"/>
        </w:rPr>
        <w:t xml:space="preserve">and Foundation </w:t>
      </w:r>
      <w:r w:rsidRPr="00C41399">
        <w:rPr>
          <w:rFonts w:ascii="Gill Sans MT" w:hAnsi="Gill Sans MT"/>
          <w:b/>
          <w:bCs/>
          <w:sz w:val="24"/>
          <w:szCs w:val="24"/>
        </w:rPr>
        <w:t>Fundraising Strategy</w:t>
      </w:r>
      <w:bookmarkEnd w:id="7"/>
    </w:p>
    <w:p w:rsidR="005A0701" w:rsidRPr="0017105E" w:rsidRDefault="005A0701" w:rsidP="005A0701">
      <w:pPr>
        <w:spacing w:after="0" w:line="240" w:lineRule="auto"/>
        <w:rPr>
          <w:rFonts w:ascii="Gill Sans MT" w:hAnsi="Gill Sans MT"/>
          <w:b/>
        </w:rPr>
      </w:pPr>
    </w:p>
    <w:p w:rsidR="005A0701" w:rsidRPr="0017105E" w:rsidRDefault="005A0701" w:rsidP="005A0701">
      <w:pPr>
        <w:spacing w:after="0" w:line="240" w:lineRule="auto"/>
        <w:rPr>
          <w:rFonts w:ascii="Gill Sans MT" w:hAnsi="Gill Sans MT"/>
        </w:rPr>
      </w:pPr>
      <w:r w:rsidRPr="0017105E">
        <w:rPr>
          <w:rFonts w:ascii="Gill Sans MT" w:hAnsi="Gill Sans MT"/>
        </w:rPr>
        <w:lastRenderedPageBreak/>
        <w:t xml:space="preserve">Trust fundraising is often referred to as the backbone of any fundraising function and it delivers one of the highest returns on investment in fundraising; £9.56 for every £1 invested and is surpassed only by the return on income from legacies. </w:t>
      </w:r>
      <w:r w:rsidR="00A4364C">
        <w:rPr>
          <w:rFonts w:ascii="Gill Sans MT" w:hAnsi="Gill Sans MT"/>
        </w:rPr>
        <w:t>In 2020, the OSS Fundraising Committee invested time and finance with volunteers supporting staff members, to assess more than 2,000 trusts and foundations, and their suitability for OSS projects.</w:t>
      </w:r>
    </w:p>
    <w:p w:rsidR="005A0701" w:rsidRPr="0017105E" w:rsidRDefault="005A0701" w:rsidP="005A0701">
      <w:pPr>
        <w:spacing w:after="0" w:line="240" w:lineRule="auto"/>
        <w:rPr>
          <w:rFonts w:ascii="Gill Sans MT" w:hAnsi="Gill Sans MT"/>
        </w:rPr>
      </w:pPr>
    </w:p>
    <w:p w:rsidR="005A0701" w:rsidRPr="0017105E" w:rsidRDefault="005A0701" w:rsidP="00A4364C">
      <w:pPr>
        <w:spacing w:after="0" w:line="240" w:lineRule="auto"/>
        <w:rPr>
          <w:rFonts w:ascii="Gill Sans MT" w:hAnsi="Gill Sans MT"/>
        </w:rPr>
      </w:pPr>
      <w:r>
        <w:rPr>
          <w:rFonts w:ascii="Gill Sans MT" w:hAnsi="Gill Sans MT"/>
        </w:rPr>
        <w:t xml:space="preserve">OSS has received some funding through Trusts and Foundations and </w:t>
      </w:r>
      <w:r w:rsidR="00A4364C">
        <w:rPr>
          <w:rFonts w:ascii="Gill Sans MT" w:hAnsi="Gill Sans MT"/>
        </w:rPr>
        <w:t>has identified 90 who will be approached in 2020-21 who we believe share our vision to widen community sport activity to all ages and abilities, particularly in deprived areas, and benefit the Scotland’s physical and mental health and wellbeing</w:t>
      </w:r>
      <w:r>
        <w:rPr>
          <w:rFonts w:ascii="Gill Sans MT" w:hAnsi="Gill Sans MT"/>
        </w:rPr>
        <w:t>.</w:t>
      </w:r>
      <w:r w:rsidRPr="0017105E">
        <w:rPr>
          <w:rFonts w:ascii="Gill Sans MT" w:hAnsi="Gill Sans MT"/>
        </w:rPr>
        <w:t xml:space="preserve">  There are four key actions that </w:t>
      </w:r>
      <w:r>
        <w:rPr>
          <w:rFonts w:ascii="Gill Sans MT" w:hAnsi="Gill Sans MT"/>
        </w:rPr>
        <w:t>OSS</w:t>
      </w:r>
      <w:r w:rsidRPr="0017105E">
        <w:rPr>
          <w:rFonts w:ascii="Gill Sans MT" w:hAnsi="Gill Sans MT"/>
        </w:rPr>
        <w:t xml:space="preserve"> </w:t>
      </w:r>
      <w:r w:rsidR="00A4364C">
        <w:rPr>
          <w:rFonts w:ascii="Gill Sans MT" w:hAnsi="Gill Sans MT"/>
        </w:rPr>
        <w:t>is</w:t>
      </w:r>
      <w:r w:rsidRPr="0017105E">
        <w:rPr>
          <w:rFonts w:ascii="Gill Sans MT" w:hAnsi="Gill Sans MT"/>
        </w:rPr>
        <w:t xml:space="preserve"> undertaking to ensure that it can sustain success in terms of Trust funding:</w:t>
      </w:r>
    </w:p>
    <w:p w:rsidR="005A0701" w:rsidRPr="0017105E" w:rsidRDefault="005A0701" w:rsidP="005A0701">
      <w:pPr>
        <w:spacing w:after="0" w:line="240" w:lineRule="auto"/>
        <w:rPr>
          <w:rFonts w:ascii="Gill Sans MT" w:hAnsi="Gill Sans MT"/>
        </w:rPr>
      </w:pPr>
    </w:p>
    <w:p w:rsidR="005A0701" w:rsidRPr="0017105E" w:rsidRDefault="005A0701" w:rsidP="005A0701">
      <w:pPr>
        <w:pStyle w:val="ListParagraph"/>
        <w:numPr>
          <w:ilvl w:val="0"/>
          <w:numId w:val="23"/>
        </w:numPr>
        <w:spacing w:after="0" w:line="240" w:lineRule="auto"/>
        <w:rPr>
          <w:rFonts w:ascii="Gill Sans MT" w:hAnsi="Gill Sans MT"/>
        </w:rPr>
      </w:pPr>
      <w:r w:rsidRPr="0017105E">
        <w:rPr>
          <w:rFonts w:ascii="Gill Sans MT" w:hAnsi="Gill Sans MT"/>
          <w:b/>
        </w:rPr>
        <w:t>Market penetration</w:t>
      </w:r>
      <w:r w:rsidRPr="0017105E">
        <w:rPr>
          <w:rFonts w:ascii="Gill Sans MT" w:hAnsi="Gill Sans MT"/>
        </w:rPr>
        <w:t xml:space="preserve"> – </w:t>
      </w:r>
      <w:r>
        <w:rPr>
          <w:rFonts w:ascii="Gill Sans MT" w:hAnsi="Gill Sans MT"/>
        </w:rPr>
        <w:t xml:space="preserve">OSS </w:t>
      </w:r>
      <w:r w:rsidR="00A4364C">
        <w:rPr>
          <w:rFonts w:ascii="Gill Sans MT" w:hAnsi="Gill Sans MT"/>
        </w:rPr>
        <w:t>is</w:t>
      </w:r>
      <w:r w:rsidRPr="0017105E">
        <w:rPr>
          <w:rFonts w:ascii="Gill Sans MT" w:hAnsi="Gill Sans MT"/>
        </w:rPr>
        <w:t xml:space="preserve"> </w:t>
      </w:r>
      <w:r w:rsidR="00A4364C">
        <w:rPr>
          <w:rFonts w:ascii="Gill Sans MT" w:hAnsi="Gill Sans MT"/>
        </w:rPr>
        <w:t>actively seeking</w:t>
      </w:r>
      <w:r w:rsidRPr="0017105E">
        <w:rPr>
          <w:rFonts w:ascii="Gill Sans MT" w:hAnsi="Gill Sans MT"/>
        </w:rPr>
        <w:t xml:space="preserve"> to </w:t>
      </w:r>
      <w:r w:rsidR="00A4364C">
        <w:rPr>
          <w:rFonts w:ascii="Gill Sans MT" w:hAnsi="Gill Sans MT"/>
        </w:rPr>
        <w:t>i</w:t>
      </w:r>
      <w:r w:rsidRPr="0017105E">
        <w:rPr>
          <w:rFonts w:ascii="Gill Sans MT" w:hAnsi="Gill Sans MT"/>
        </w:rPr>
        <w:t>ncrease market penetration in the trust</w:t>
      </w:r>
      <w:r w:rsidR="00A4364C">
        <w:rPr>
          <w:rFonts w:ascii="Gill Sans MT" w:hAnsi="Gill Sans MT"/>
        </w:rPr>
        <w:t xml:space="preserve"> and foundation</w:t>
      </w:r>
      <w:r w:rsidRPr="0017105E">
        <w:rPr>
          <w:rFonts w:ascii="Gill Sans MT" w:hAnsi="Gill Sans MT"/>
        </w:rPr>
        <w:t xml:space="preserve"> market where i</w:t>
      </w:r>
      <w:r>
        <w:rPr>
          <w:rFonts w:ascii="Gill Sans MT" w:hAnsi="Gill Sans MT"/>
        </w:rPr>
        <w:t xml:space="preserve">t </w:t>
      </w:r>
      <w:r w:rsidRPr="0017105E">
        <w:rPr>
          <w:rFonts w:ascii="Gill Sans MT" w:hAnsi="Gill Sans MT"/>
        </w:rPr>
        <w:t>already has secured</w:t>
      </w:r>
      <w:r>
        <w:rPr>
          <w:rFonts w:ascii="Gill Sans MT" w:hAnsi="Gill Sans MT"/>
        </w:rPr>
        <w:t xml:space="preserve"> some</w:t>
      </w:r>
      <w:r w:rsidRPr="0017105E">
        <w:rPr>
          <w:rFonts w:ascii="Gill Sans MT" w:hAnsi="Gill Sans MT"/>
        </w:rPr>
        <w:t xml:space="preserve"> </w:t>
      </w:r>
      <w:r>
        <w:rPr>
          <w:rFonts w:ascii="Gill Sans MT" w:hAnsi="Gill Sans MT"/>
        </w:rPr>
        <w:t xml:space="preserve">minor </w:t>
      </w:r>
      <w:r w:rsidRPr="0017105E">
        <w:rPr>
          <w:rFonts w:ascii="Gill Sans MT" w:hAnsi="Gill Sans MT"/>
        </w:rPr>
        <w:t>success</w:t>
      </w:r>
      <w:r>
        <w:rPr>
          <w:rFonts w:ascii="Gill Sans MT" w:hAnsi="Gill Sans MT"/>
        </w:rPr>
        <w:t>.</w:t>
      </w:r>
      <w:r w:rsidRPr="0017105E">
        <w:rPr>
          <w:rFonts w:ascii="Gill Sans MT" w:hAnsi="Gill Sans MT"/>
        </w:rPr>
        <w:t xml:space="preserve"> This is the safest growth strategy but there will be a natural limit on how much </w:t>
      </w:r>
      <w:r>
        <w:rPr>
          <w:rFonts w:ascii="Gill Sans MT" w:hAnsi="Gill Sans MT"/>
        </w:rPr>
        <w:t xml:space="preserve">OSS </w:t>
      </w:r>
      <w:r w:rsidRPr="0017105E">
        <w:rPr>
          <w:rFonts w:ascii="Gill Sans MT" w:hAnsi="Gill Sans MT"/>
        </w:rPr>
        <w:t>can grow income as a result.</w:t>
      </w:r>
    </w:p>
    <w:p w:rsidR="005A0701" w:rsidRPr="0017105E" w:rsidRDefault="005A0701" w:rsidP="005A0701">
      <w:pPr>
        <w:pStyle w:val="ListParagraph"/>
        <w:numPr>
          <w:ilvl w:val="0"/>
          <w:numId w:val="23"/>
        </w:numPr>
        <w:spacing w:after="0" w:line="240" w:lineRule="auto"/>
        <w:rPr>
          <w:rFonts w:ascii="Gill Sans MT" w:hAnsi="Gill Sans MT"/>
        </w:rPr>
      </w:pPr>
      <w:r w:rsidRPr="0017105E">
        <w:rPr>
          <w:rFonts w:ascii="Gill Sans MT" w:hAnsi="Gill Sans MT"/>
          <w:b/>
        </w:rPr>
        <w:t>Market development</w:t>
      </w:r>
      <w:r w:rsidRPr="0017105E">
        <w:rPr>
          <w:rFonts w:ascii="Gill Sans MT" w:hAnsi="Gill Sans MT"/>
        </w:rPr>
        <w:t xml:space="preserve"> – </w:t>
      </w:r>
      <w:r>
        <w:rPr>
          <w:rFonts w:ascii="Gill Sans MT" w:hAnsi="Gill Sans MT"/>
        </w:rPr>
        <w:t xml:space="preserve">OSS </w:t>
      </w:r>
      <w:r w:rsidR="00A4364C">
        <w:rPr>
          <w:rFonts w:ascii="Gill Sans MT" w:hAnsi="Gill Sans MT"/>
        </w:rPr>
        <w:t xml:space="preserve">has researched a range of </w:t>
      </w:r>
      <w:r w:rsidRPr="0017105E">
        <w:rPr>
          <w:rFonts w:ascii="Gill Sans MT" w:hAnsi="Gill Sans MT"/>
        </w:rPr>
        <w:t xml:space="preserve">trusts </w:t>
      </w:r>
      <w:r w:rsidR="00A4364C">
        <w:rPr>
          <w:rFonts w:ascii="Gill Sans MT" w:hAnsi="Gill Sans MT"/>
        </w:rPr>
        <w:t xml:space="preserve">across the UK </w:t>
      </w:r>
      <w:r w:rsidRPr="0017105E">
        <w:rPr>
          <w:rFonts w:ascii="Gill Sans MT" w:hAnsi="Gill Sans MT"/>
        </w:rPr>
        <w:t xml:space="preserve">who have never been approached but for </w:t>
      </w:r>
      <w:r>
        <w:rPr>
          <w:rFonts w:ascii="Gill Sans MT" w:hAnsi="Gill Sans MT"/>
        </w:rPr>
        <w:t>wh</w:t>
      </w:r>
      <w:r w:rsidRPr="0017105E">
        <w:rPr>
          <w:rFonts w:ascii="Gill Sans MT" w:hAnsi="Gill Sans MT"/>
        </w:rPr>
        <w:t xml:space="preserve">om some of the work undertaken by </w:t>
      </w:r>
      <w:r>
        <w:rPr>
          <w:rFonts w:ascii="Gill Sans MT" w:hAnsi="Gill Sans MT"/>
        </w:rPr>
        <w:t>OSS</w:t>
      </w:r>
      <w:r w:rsidRPr="0017105E">
        <w:rPr>
          <w:rFonts w:ascii="Gill Sans MT" w:hAnsi="Gill Sans MT"/>
        </w:rPr>
        <w:t xml:space="preserve"> may resonate</w:t>
      </w:r>
      <w:r w:rsidR="00A4364C">
        <w:rPr>
          <w:rFonts w:ascii="Gill Sans MT" w:hAnsi="Gill Sans MT"/>
        </w:rPr>
        <w:t xml:space="preserve"> across sport, communities, social inequality, disadvantaged groups, and health and wellbeing.</w:t>
      </w:r>
    </w:p>
    <w:p w:rsidR="005A0701" w:rsidRPr="0017105E" w:rsidRDefault="005A0701" w:rsidP="005A0701">
      <w:pPr>
        <w:pStyle w:val="ListParagraph"/>
        <w:numPr>
          <w:ilvl w:val="0"/>
          <w:numId w:val="23"/>
        </w:numPr>
        <w:spacing w:after="0" w:line="240" w:lineRule="auto"/>
        <w:rPr>
          <w:rFonts w:ascii="Gill Sans MT" w:hAnsi="Gill Sans MT"/>
        </w:rPr>
      </w:pPr>
      <w:r w:rsidRPr="0017105E">
        <w:rPr>
          <w:rFonts w:ascii="Gill Sans MT" w:hAnsi="Gill Sans MT"/>
          <w:b/>
        </w:rPr>
        <w:t>Product development</w:t>
      </w:r>
      <w:r w:rsidRPr="0017105E">
        <w:rPr>
          <w:rFonts w:ascii="Gill Sans MT" w:hAnsi="Gill Sans MT"/>
        </w:rPr>
        <w:t xml:space="preserve"> –</w:t>
      </w:r>
      <w:r w:rsidR="00A4364C">
        <w:rPr>
          <w:rFonts w:ascii="Gill Sans MT" w:hAnsi="Gill Sans MT"/>
        </w:rPr>
        <w:t xml:space="preserve"> </w:t>
      </w:r>
      <w:r>
        <w:rPr>
          <w:rFonts w:ascii="Gill Sans MT" w:hAnsi="Gill Sans MT"/>
        </w:rPr>
        <w:t>OSS</w:t>
      </w:r>
      <w:r w:rsidRPr="0017105E">
        <w:rPr>
          <w:rFonts w:ascii="Gill Sans MT" w:hAnsi="Gill Sans MT"/>
        </w:rPr>
        <w:t xml:space="preserve"> </w:t>
      </w:r>
      <w:r w:rsidR="00A4364C">
        <w:rPr>
          <w:rFonts w:ascii="Gill Sans MT" w:hAnsi="Gill Sans MT"/>
        </w:rPr>
        <w:t>has been thinking</w:t>
      </w:r>
      <w:r w:rsidRPr="0017105E">
        <w:rPr>
          <w:rFonts w:ascii="Gill Sans MT" w:hAnsi="Gill Sans MT"/>
        </w:rPr>
        <w:t xml:space="preserve"> creatively about the type of funding it is seeking </w:t>
      </w:r>
      <w:r w:rsidR="00A4364C">
        <w:rPr>
          <w:rFonts w:ascii="Gill Sans MT" w:hAnsi="Gill Sans MT"/>
        </w:rPr>
        <w:t>and</w:t>
      </w:r>
      <w:r w:rsidRPr="0017105E">
        <w:rPr>
          <w:rFonts w:ascii="Gill Sans MT" w:hAnsi="Gill Sans MT"/>
        </w:rPr>
        <w:t xml:space="preserve"> looking at the potential </w:t>
      </w:r>
      <w:r>
        <w:rPr>
          <w:rFonts w:ascii="Gill Sans MT" w:hAnsi="Gill Sans MT"/>
        </w:rPr>
        <w:t>for</w:t>
      </w:r>
      <w:r w:rsidRPr="0017105E">
        <w:rPr>
          <w:rFonts w:ascii="Gill Sans MT" w:hAnsi="Gill Sans MT"/>
        </w:rPr>
        <w:t xml:space="preserve"> unrestricted, one-off gifts </w:t>
      </w:r>
      <w:r w:rsidR="00A4364C">
        <w:rPr>
          <w:rFonts w:ascii="Gill Sans MT" w:hAnsi="Gill Sans MT"/>
        </w:rPr>
        <w:t>alongside</w:t>
      </w:r>
      <w:r>
        <w:rPr>
          <w:rFonts w:ascii="Gill Sans MT" w:hAnsi="Gill Sans MT"/>
        </w:rPr>
        <w:t xml:space="preserve"> </w:t>
      </w:r>
      <w:r w:rsidRPr="0017105E">
        <w:rPr>
          <w:rFonts w:ascii="Gill Sans MT" w:hAnsi="Gill Sans MT"/>
        </w:rPr>
        <w:t>multi-year, restricted gift</w:t>
      </w:r>
      <w:r>
        <w:rPr>
          <w:rFonts w:ascii="Gill Sans MT" w:hAnsi="Gill Sans MT"/>
        </w:rPr>
        <w:t>s</w:t>
      </w:r>
      <w:r w:rsidRPr="0017105E">
        <w:rPr>
          <w:rFonts w:ascii="Gill Sans MT" w:hAnsi="Gill Sans MT"/>
        </w:rPr>
        <w:t xml:space="preserve"> to support the </w:t>
      </w:r>
      <w:r w:rsidR="00A4364C">
        <w:rPr>
          <w:rFonts w:ascii="Gill Sans MT" w:hAnsi="Gill Sans MT"/>
        </w:rPr>
        <w:t>OSS work.</w:t>
      </w:r>
    </w:p>
    <w:p w:rsidR="005A0701" w:rsidRPr="0017105E" w:rsidRDefault="005A0701" w:rsidP="005A0701">
      <w:pPr>
        <w:spacing w:after="0" w:line="240" w:lineRule="auto"/>
        <w:rPr>
          <w:rFonts w:ascii="Gill Sans MT" w:hAnsi="Gill Sans MT"/>
        </w:rPr>
      </w:pPr>
    </w:p>
    <w:p w:rsidR="005A0701" w:rsidRPr="0017105E" w:rsidRDefault="005A0701" w:rsidP="005A0701">
      <w:pPr>
        <w:spacing w:after="0" w:line="240" w:lineRule="auto"/>
        <w:rPr>
          <w:rFonts w:ascii="Gill Sans MT" w:hAnsi="Gill Sans MT"/>
        </w:rPr>
      </w:pPr>
      <w:r w:rsidRPr="0017105E">
        <w:rPr>
          <w:rFonts w:ascii="Gill Sans MT" w:hAnsi="Gill Sans MT"/>
        </w:rPr>
        <w:t xml:space="preserve">Because the connections between Trusts, individuals and companies has become so closely interlinked in modern day fundraising, a key resource </w:t>
      </w:r>
      <w:r w:rsidR="00A4364C">
        <w:rPr>
          <w:rFonts w:ascii="Gill Sans MT" w:hAnsi="Gill Sans MT"/>
        </w:rPr>
        <w:t>being</w:t>
      </w:r>
      <w:r w:rsidRPr="0017105E">
        <w:rPr>
          <w:rFonts w:ascii="Gill Sans MT" w:hAnsi="Gill Sans MT"/>
        </w:rPr>
        <w:t xml:space="preserve"> invested in by </w:t>
      </w:r>
      <w:r>
        <w:rPr>
          <w:rFonts w:ascii="Gill Sans MT" w:hAnsi="Gill Sans MT"/>
        </w:rPr>
        <w:t>OSS</w:t>
      </w:r>
      <w:r w:rsidRPr="0017105E">
        <w:rPr>
          <w:rFonts w:ascii="Gill Sans MT" w:hAnsi="Gill Sans MT"/>
        </w:rPr>
        <w:t xml:space="preserve"> is </w:t>
      </w:r>
      <w:r>
        <w:rPr>
          <w:rFonts w:ascii="Gill Sans MT" w:hAnsi="Gill Sans MT"/>
        </w:rPr>
        <w:t>prospect r</w:t>
      </w:r>
      <w:r w:rsidRPr="0017105E">
        <w:rPr>
          <w:rFonts w:ascii="Gill Sans MT" w:hAnsi="Gill Sans MT"/>
        </w:rPr>
        <w:t xml:space="preserve">esearch.  Every possible Trust that could support </w:t>
      </w:r>
      <w:r>
        <w:rPr>
          <w:rFonts w:ascii="Gill Sans MT" w:hAnsi="Gill Sans MT"/>
        </w:rPr>
        <w:t>OSS</w:t>
      </w:r>
      <w:r w:rsidRPr="0017105E">
        <w:rPr>
          <w:rFonts w:ascii="Gill Sans MT" w:hAnsi="Gill Sans MT"/>
        </w:rPr>
        <w:t xml:space="preserve"> </w:t>
      </w:r>
      <w:r w:rsidR="00A4364C">
        <w:rPr>
          <w:rFonts w:ascii="Gill Sans MT" w:hAnsi="Gill Sans MT"/>
        </w:rPr>
        <w:t>is being</w:t>
      </w:r>
      <w:r w:rsidRPr="0017105E">
        <w:rPr>
          <w:rFonts w:ascii="Gill Sans MT" w:hAnsi="Gill Sans MT"/>
        </w:rPr>
        <w:t xml:space="preserve"> researched </w:t>
      </w:r>
      <w:r w:rsidR="00A4364C">
        <w:rPr>
          <w:rFonts w:ascii="Gill Sans MT" w:hAnsi="Gill Sans MT"/>
        </w:rPr>
        <w:t xml:space="preserve">in 2020 </w:t>
      </w:r>
      <w:r w:rsidRPr="0017105E">
        <w:rPr>
          <w:rFonts w:ascii="Gill Sans MT" w:hAnsi="Gill Sans MT"/>
        </w:rPr>
        <w:t xml:space="preserve">and categorised </w:t>
      </w:r>
      <w:r w:rsidR="00A4364C">
        <w:rPr>
          <w:rFonts w:ascii="Gill Sans MT" w:hAnsi="Gill Sans MT"/>
        </w:rPr>
        <w:t>to</w:t>
      </w:r>
      <w:r w:rsidRPr="0017105E">
        <w:rPr>
          <w:rFonts w:ascii="Gill Sans MT" w:hAnsi="Gill Sans MT"/>
        </w:rPr>
        <w:t xml:space="preserve"> prioritise which Trust to approach when, for what and for how much, and whether there are routes in through individuals connected to that Trust.</w:t>
      </w:r>
    </w:p>
    <w:p w:rsidR="005A0701" w:rsidRPr="0017105E" w:rsidRDefault="005A0701" w:rsidP="005A0701">
      <w:pPr>
        <w:spacing w:after="0" w:line="240" w:lineRule="auto"/>
        <w:rPr>
          <w:rFonts w:ascii="Gill Sans MT" w:hAnsi="Gill Sans MT"/>
        </w:rPr>
      </w:pPr>
    </w:p>
    <w:p w:rsidR="005A0701" w:rsidRDefault="005A0701" w:rsidP="005A0701">
      <w:pPr>
        <w:spacing w:after="0" w:line="240" w:lineRule="auto"/>
        <w:rPr>
          <w:rFonts w:ascii="Gill Sans MT" w:hAnsi="Gill Sans MT"/>
        </w:rPr>
      </w:pPr>
      <w:r w:rsidRPr="0017105E">
        <w:rPr>
          <w:rFonts w:ascii="Gill Sans MT" w:hAnsi="Gill Sans MT"/>
        </w:rPr>
        <w:t xml:space="preserve">For both major donors and trusts, </w:t>
      </w:r>
      <w:r>
        <w:rPr>
          <w:rFonts w:ascii="Gill Sans MT" w:hAnsi="Gill Sans MT"/>
        </w:rPr>
        <w:t>OSS</w:t>
      </w:r>
      <w:r w:rsidRPr="0017105E">
        <w:rPr>
          <w:rFonts w:ascii="Gill Sans MT" w:hAnsi="Gill Sans MT"/>
        </w:rPr>
        <w:t xml:space="preserve"> </w:t>
      </w:r>
      <w:r w:rsidR="00A4364C">
        <w:rPr>
          <w:rFonts w:ascii="Gill Sans MT" w:hAnsi="Gill Sans MT"/>
        </w:rPr>
        <w:t>is also</w:t>
      </w:r>
      <w:r w:rsidRPr="0017105E">
        <w:rPr>
          <w:rFonts w:ascii="Gill Sans MT" w:hAnsi="Gill Sans MT"/>
        </w:rPr>
        <w:t xml:space="preserve"> invest</w:t>
      </w:r>
      <w:r w:rsidR="00A4364C">
        <w:rPr>
          <w:rFonts w:ascii="Gill Sans MT" w:hAnsi="Gill Sans MT"/>
        </w:rPr>
        <w:t>ing</w:t>
      </w:r>
      <w:r w:rsidRPr="0017105E">
        <w:rPr>
          <w:rFonts w:ascii="Gill Sans MT" w:hAnsi="Gill Sans MT"/>
        </w:rPr>
        <w:t xml:space="preserve"> time and energy in finding influencers - people who know the people they need to influence. This </w:t>
      </w:r>
      <w:r w:rsidR="00A4364C">
        <w:rPr>
          <w:rFonts w:ascii="Gill Sans MT" w:hAnsi="Gill Sans MT"/>
        </w:rPr>
        <w:t>will include</w:t>
      </w:r>
      <w:r w:rsidRPr="0017105E">
        <w:rPr>
          <w:rFonts w:ascii="Gill Sans MT" w:hAnsi="Gill Sans MT"/>
        </w:rPr>
        <w:t xml:space="preserve"> </w:t>
      </w:r>
      <w:r w:rsidR="00A4364C">
        <w:rPr>
          <w:rFonts w:ascii="Gill Sans MT" w:hAnsi="Gill Sans MT"/>
        </w:rPr>
        <w:t xml:space="preserve">a </w:t>
      </w:r>
      <w:r w:rsidRPr="0017105E">
        <w:rPr>
          <w:rFonts w:ascii="Gill Sans MT" w:hAnsi="Gill Sans MT"/>
        </w:rPr>
        <w:t>peer review list that goes out to all Trustees</w:t>
      </w:r>
      <w:r>
        <w:rPr>
          <w:rFonts w:ascii="Gill Sans MT" w:hAnsi="Gill Sans MT"/>
        </w:rPr>
        <w:t xml:space="preserve"> and ambassadors</w:t>
      </w:r>
      <w:r w:rsidRPr="0017105E">
        <w:rPr>
          <w:rFonts w:ascii="Gill Sans MT" w:hAnsi="Gill Sans MT"/>
        </w:rPr>
        <w:t xml:space="preserve"> listing people that </w:t>
      </w:r>
      <w:r>
        <w:rPr>
          <w:rFonts w:ascii="Gill Sans MT" w:hAnsi="Gill Sans MT"/>
        </w:rPr>
        <w:t>OSS</w:t>
      </w:r>
      <w:r w:rsidRPr="0017105E">
        <w:rPr>
          <w:rFonts w:ascii="Gill Sans MT" w:hAnsi="Gill Sans MT"/>
        </w:rPr>
        <w:t xml:space="preserve"> wants to connect with, to map and annually refresh who is linked to whom.</w:t>
      </w:r>
    </w:p>
    <w:p w:rsidR="00A4364C" w:rsidRDefault="00A4364C" w:rsidP="005A0701">
      <w:pPr>
        <w:spacing w:after="0" w:line="240" w:lineRule="auto"/>
        <w:rPr>
          <w:rFonts w:ascii="Gill Sans MT" w:hAnsi="Gill Sans MT"/>
        </w:rPr>
      </w:pPr>
    </w:p>
    <w:p w:rsidR="00A4364C" w:rsidRPr="0017105E" w:rsidRDefault="00A4364C" w:rsidP="005A0701">
      <w:pPr>
        <w:spacing w:after="0" w:line="240" w:lineRule="auto"/>
        <w:rPr>
          <w:rFonts w:ascii="Gill Sans MT" w:hAnsi="Gill Sans MT"/>
        </w:rPr>
      </w:pPr>
      <w:r>
        <w:rPr>
          <w:rFonts w:ascii="Gill Sans MT" w:hAnsi="Gill Sans MT"/>
        </w:rPr>
        <w:t>Key to the success of the OSS fundraising strategy has been the development of a new ‘Case for Support’, that seeks to provide a concise and clear outline of who OSS is and what it is seeking to achieve, and how.</w:t>
      </w:r>
    </w:p>
    <w:p w:rsidR="005A0701" w:rsidRPr="0017105E" w:rsidRDefault="005A0701" w:rsidP="005A0701">
      <w:pPr>
        <w:spacing w:after="0" w:line="240" w:lineRule="auto"/>
        <w:rPr>
          <w:rFonts w:ascii="Gill Sans MT" w:hAnsi="Gill Sans MT"/>
        </w:rPr>
      </w:pPr>
    </w:p>
    <w:p w:rsidR="005A0701" w:rsidRPr="0017105E" w:rsidRDefault="00D93846" w:rsidP="005A0701">
      <w:pPr>
        <w:spacing w:after="0" w:line="240" w:lineRule="auto"/>
        <w:rPr>
          <w:rFonts w:ascii="Gill Sans MT" w:hAnsi="Gill Sans MT"/>
        </w:rPr>
      </w:pPr>
      <w:r>
        <w:rPr>
          <w:rFonts w:ascii="Gill Sans MT" w:hAnsi="Gill Sans MT"/>
        </w:rPr>
        <w:t>In</w:t>
      </w:r>
      <w:r w:rsidR="005A0701" w:rsidRPr="0017105E">
        <w:rPr>
          <w:rFonts w:ascii="Gill Sans MT" w:hAnsi="Gill Sans MT"/>
        </w:rPr>
        <w:t xml:space="preserve"> planning for success in terms of Trust funding </w:t>
      </w:r>
      <w:r>
        <w:rPr>
          <w:rFonts w:ascii="Gill Sans MT" w:hAnsi="Gill Sans MT"/>
        </w:rPr>
        <w:t>OSS</w:t>
      </w:r>
      <w:r w:rsidR="005A0701" w:rsidRPr="0017105E">
        <w:rPr>
          <w:rFonts w:ascii="Gill Sans MT" w:hAnsi="Gill Sans MT"/>
        </w:rPr>
        <w:t xml:space="preserve"> adhere</w:t>
      </w:r>
      <w:r>
        <w:rPr>
          <w:rFonts w:ascii="Gill Sans MT" w:hAnsi="Gill Sans MT"/>
        </w:rPr>
        <w:t>s</w:t>
      </w:r>
      <w:r w:rsidR="005A0701" w:rsidRPr="0017105E">
        <w:rPr>
          <w:rFonts w:ascii="Gill Sans MT" w:hAnsi="Gill Sans MT"/>
        </w:rPr>
        <w:t xml:space="preserve"> to the following principals</w:t>
      </w:r>
      <w:r>
        <w:rPr>
          <w:rFonts w:ascii="Gill Sans MT" w:hAnsi="Gill Sans MT"/>
        </w:rPr>
        <w:t>:</w:t>
      </w:r>
    </w:p>
    <w:p w:rsidR="00D93846" w:rsidRDefault="005A0701" w:rsidP="005B02F1">
      <w:pPr>
        <w:pStyle w:val="ListParagraph"/>
        <w:numPr>
          <w:ilvl w:val="0"/>
          <w:numId w:val="25"/>
        </w:numPr>
        <w:spacing w:after="0" w:line="240" w:lineRule="auto"/>
        <w:rPr>
          <w:rFonts w:ascii="Gill Sans MT" w:hAnsi="Gill Sans MT"/>
        </w:rPr>
      </w:pPr>
      <w:r w:rsidRPr="00D93846">
        <w:rPr>
          <w:rFonts w:ascii="Gill Sans MT" w:hAnsi="Gill Sans MT"/>
          <w:b/>
        </w:rPr>
        <w:t>Quality beats quantity</w:t>
      </w:r>
      <w:r w:rsidRPr="00D93846">
        <w:rPr>
          <w:rFonts w:ascii="Gill Sans MT" w:hAnsi="Gill Sans MT"/>
        </w:rPr>
        <w:t xml:space="preserve"> - Targeting applications closely to a trust’s requirements</w:t>
      </w:r>
    </w:p>
    <w:p w:rsidR="005A0701" w:rsidRPr="00D93846" w:rsidRDefault="005A0701" w:rsidP="005B02F1">
      <w:pPr>
        <w:pStyle w:val="ListParagraph"/>
        <w:numPr>
          <w:ilvl w:val="0"/>
          <w:numId w:val="25"/>
        </w:numPr>
        <w:spacing w:after="0" w:line="240" w:lineRule="auto"/>
        <w:rPr>
          <w:rFonts w:ascii="Gill Sans MT" w:hAnsi="Gill Sans MT"/>
        </w:rPr>
      </w:pPr>
      <w:r w:rsidRPr="00D93846">
        <w:rPr>
          <w:rFonts w:ascii="Gill Sans MT" w:hAnsi="Gill Sans MT"/>
          <w:b/>
        </w:rPr>
        <w:t>Keep up with the changes</w:t>
      </w:r>
      <w:r w:rsidRPr="00D93846">
        <w:rPr>
          <w:rFonts w:ascii="Gill Sans MT" w:hAnsi="Gill Sans MT"/>
        </w:rPr>
        <w:t xml:space="preserve"> –</w:t>
      </w:r>
      <w:r w:rsidR="00D93846">
        <w:rPr>
          <w:rFonts w:ascii="Gill Sans MT" w:hAnsi="Gill Sans MT"/>
        </w:rPr>
        <w:t xml:space="preserve"> </w:t>
      </w:r>
      <w:r w:rsidRPr="00D93846">
        <w:rPr>
          <w:rFonts w:ascii="Gill Sans MT" w:hAnsi="Gill Sans MT"/>
        </w:rPr>
        <w:t xml:space="preserve">Keeping track of updates, </w:t>
      </w:r>
      <w:r w:rsidR="00D93846">
        <w:rPr>
          <w:rFonts w:ascii="Gill Sans MT" w:hAnsi="Gill Sans MT"/>
        </w:rPr>
        <w:t xml:space="preserve">changes and new trusts emerging, </w:t>
      </w:r>
      <w:r w:rsidRPr="00D93846">
        <w:rPr>
          <w:rFonts w:ascii="Gill Sans MT" w:hAnsi="Gill Sans MT"/>
        </w:rPr>
        <w:t xml:space="preserve">checking websites and sharing information </w:t>
      </w:r>
    </w:p>
    <w:p w:rsidR="005A0701" w:rsidRPr="0017105E" w:rsidRDefault="005A0701" w:rsidP="005A0701">
      <w:pPr>
        <w:pStyle w:val="ListParagraph"/>
        <w:numPr>
          <w:ilvl w:val="0"/>
          <w:numId w:val="25"/>
        </w:numPr>
        <w:spacing w:after="0" w:line="240" w:lineRule="auto"/>
        <w:rPr>
          <w:rFonts w:ascii="Gill Sans MT" w:hAnsi="Gill Sans MT"/>
        </w:rPr>
      </w:pPr>
      <w:r w:rsidRPr="0017105E">
        <w:rPr>
          <w:rFonts w:ascii="Gill Sans MT" w:hAnsi="Gill Sans MT"/>
          <w:b/>
        </w:rPr>
        <w:t>If no response or rejected first time</w:t>
      </w:r>
      <w:r w:rsidRPr="0017105E">
        <w:rPr>
          <w:rFonts w:ascii="Gill Sans MT" w:hAnsi="Gill Sans MT"/>
        </w:rPr>
        <w:t xml:space="preserve">, </w:t>
      </w:r>
      <w:r>
        <w:rPr>
          <w:rFonts w:ascii="Gill Sans MT" w:hAnsi="Gill Sans MT"/>
        </w:rPr>
        <w:t>OSS</w:t>
      </w:r>
      <w:r w:rsidRPr="0017105E">
        <w:rPr>
          <w:rFonts w:ascii="Gill Sans MT" w:hAnsi="Gill Sans MT"/>
        </w:rPr>
        <w:t xml:space="preserve"> always re-approach</w:t>
      </w:r>
      <w:r w:rsidR="00D93846">
        <w:rPr>
          <w:rFonts w:ascii="Gill Sans MT" w:hAnsi="Gill Sans MT"/>
        </w:rPr>
        <w:t>es, at least for clarification.</w:t>
      </w:r>
    </w:p>
    <w:p w:rsidR="005A0701" w:rsidRPr="00D93846" w:rsidRDefault="005A0701" w:rsidP="005A0701">
      <w:pPr>
        <w:pStyle w:val="ListParagraph"/>
        <w:numPr>
          <w:ilvl w:val="0"/>
          <w:numId w:val="25"/>
        </w:numPr>
        <w:spacing w:after="0" w:line="240" w:lineRule="auto"/>
        <w:rPr>
          <w:rFonts w:ascii="Gill Sans MT" w:hAnsi="Gill Sans MT"/>
        </w:rPr>
      </w:pPr>
      <w:r w:rsidRPr="0017105E">
        <w:rPr>
          <w:rFonts w:ascii="Gill Sans MT" w:hAnsi="Gill Sans MT"/>
          <w:b/>
        </w:rPr>
        <w:t>Use contacts</w:t>
      </w:r>
      <w:r w:rsidRPr="0017105E">
        <w:rPr>
          <w:rFonts w:ascii="Gill Sans MT" w:hAnsi="Gill Sans MT"/>
        </w:rPr>
        <w:t xml:space="preserve"> – </w:t>
      </w:r>
      <w:r w:rsidR="00D93846">
        <w:rPr>
          <w:rFonts w:ascii="Gill Sans MT" w:hAnsi="Gill Sans MT"/>
        </w:rPr>
        <w:t>OSS is developing its contacts and influencers to widen the support for</w:t>
      </w:r>
      <w:r w:rsidRPr="0017105E">
        <w:rPr>
          <w:rFonts w:ascii="Gill Sans MT" w:hAnsi="Gill Sans MT"/>
        </w:rPr>
        <w:t xml:space="preserve"> </w:t>
      </w:r>
      <w:r w:rsidR="00D93846">
        <w:rPr>
          <w:rFonts w:ascii="Gill Sans MT" w:hAnsi="Gill Sans MT"/>
        </w:rPr>
        <w:t>the OSS case.</w:t>
      </w:r>
      <w:r w:rsidRPr="00D93846">
        <w:rPr>
          <w:rFonts w:ascii="Gill Sans MT" w:hAnsi="Gill Sans MT"/>
          <w:b/>
        </w:rPr>
        <w:br w:type="page"/>
      </w:r>
    </w:p>
    <w:p w:rsidR="00E34E90" w:rsidRPr="00990D97" w:rsidRDefault="00E34E90" w:rsidP="00E34E90">
      <w:pPr>
        <w:pStyle w:val="Heading2"/>
        <w:rPr>
          <w:rFonts w:ascii="Gill Sans MT" w:hAnsi="Gill Sans MT"/>
          <w:b/>
          <w:sz w:val="24"/>
          <w:szCs w:val="24"/>
        </w:rPr>
      </w:pPr>
      <w:bookmarkStart w:id="8" w:name="_Toc41610210"/>
      <w:r>
        <w:rPr>
          <w:rFonts w:ascii="Gill Sans MT" w:hAnsi="Gill Sans MT"/>
          <w:b/>
          <w:sz w:val="24"/>
          <w:szCs w:val="24"/>
        </w:rPr>
        <w:lastRenderedPageBreak/>
        <w:t>Effective Stewardship</w:t>
      </w:r>
      <w:bookmarkEnd w:id="8"/>
    </w:p>
    <w:p w:rsidR="00E34E90" w:rsidRDefault="00E34E90" w:rsidP="00E34E90">
      <w:pPr>
        <w:spacing w:after="0" w:line="240" w:lineRule="auto"/>
        <w:rPr>
          <w:rFonts w:ascii="Gill Sans MT" w:hAnsi="Gill Sans MT"/>
        </w:rPr>
      </w:pPr>
    </w:p>
    <w:p w:rsidR="00E34E90" w:rsidRDefault="00E34E90" w:rsidP="00E34E90">
      <w:pPr>
        <w:spacing w:after="0" w:line="240" w:lineRule="auto"/>
        <w:rPr>
          <w:rFonts w:ascii="Gill Sans MT" w:hAnsi="Gill Sans MT"/>
        </w:rPr>
      </w:pPr>
      <w:r>
        <w:rPr>
          <w:rFonts w:ascii="Gill Sans MT" w:hAnsi="Gill Sans MT"/>
        </w:rPr>
        <w:t>Underpinning</w:t>
      </w:r>
      <w:r w:rsidRPr="0017105E">
        <w:rPr>
          <w:rFonts w:ascii="Gill Sans MT" w:hAnsi="Gill Sans MT"/>
        </w:rPr>
        <w:t xml:space="preserve"> </w:t>
      </w:r>
      <w:r>
        <w:rPr>
          <w:rFonts w:ascii="Gill Sans MT" w:hAnsi="Gill Sans MT"/>
        </w:rPr>
        <w:t>the OSS</w:t>
      </w:r>
      <w:r w:rsidRPr="0017105E">
        <w:rPr>
          <w:rFonts w:ascii="Gill Sans MT" w:hAnsi="Gill Sans MT"/>
        </w:rPr>
        <w:t xml:space="preserve"> fundraising function is a </w:t>
      </w:r>
      <w:r>
        <w:rPr>
          <w:rFonts w:ascii="Gill Sans MT" w:hAnsi="Gill Sans MT"/>
        </w:rPr>
        <w:t>new</w:t>
      </w:r>
      <w:r w:rsidRPr="0017105E">
        <w:rPr>
          <w:rFonts w:ascii="Gill Sans MT" w:hAnsi="Gill Sans MT"/>
        </w:rPr>
        <w:t xml:space="preserve"> stewardship plan</w:t>
      </w:r>
      <w:r>
        <w:rPr>
          <w:rFonts w:ascii="Gill Sans MT" w:hAnsi="Gill Sans MT"/>
        </w:rPr>
        <w:t>, targeting these five key audiences and managed by the Director and Programme Officer (Appendix One):</w:t>
      </w:r>
    </w:p>
    <w:p w:rsidR="00E34E90" w:rsidRPr="0000666C" w:rsidRDefault="00E34E90" w:rsidP="00E34E90">
      <w:pPr>
        <w:pStyle w:val="ListParagraph"/>
        <w:widowControl w:val="0"/>
        <w:numPr>
          <w:ilvl w:val="0"/>
          <w:numId w:val="39"/>
        </w:numPr>
        <w:autoSpaceDE w:val="0"/>
        <w:autoSpaceDN w:val="0"/>
        <w:adjustRightInd w:val="0"/>
        <w:spacing w:after="0" w:line="240" w:lineRule="auto"/>
        <w:rPr>
          <w:rFonts w:ascii="Gill Sans MT" w:hAnsi="Gill Sans MT" w:cs="Arial"/>
          <w:bCs/>
          <w:iCs/>
        </w:rPr>
      </w:pPr>
      <w:r w:rsidRPr="0000666C">
        <w:rPr>
          <w:rFonts w:ascii="Gill Sans MT" w:hAnsi="Gill Sans MT" w:cs="Arial"/>
          <w:bCs/>
          <w:iCs/>
        </w:rPr>
        <w:t>Existing Donors</w:t>
      </w:r>
    </w:p>
    <w:p w:rsidR="00E34E90" w:rsidRPr="0000666C" w:rsidRDefault="00E34E90" w:rsidP="00E34E90">
      <w:pPr>
        <w:pStyle w:val="ListParagraph"/>
        <w:widowControl w:val="0"/>
        <w:numPr>
          <w:ilvl w:val="0"/>
          <w:numId w:val="39"/>
        </w:numPr>
        <w:autoSpaceDE w:val="0"/>
        <w:autoSpaceDN w:val="0"/>
        <w:adjustRightInd w:val="0"/>
        <w:spacing w:after="0" w:line="240" w:lineRule="auto"/>
        <w:rPr>
          <w:rFonts w:ascii="Gill Sans MT" w:hAnsi="Gill Sans MT" w:cs="Arial"/>
          <w:bCs/>
          <w:iCs/>
        </w:rPr>
      </w:pPr>
      <w:r w:rsidRPr="0000666C">
        <w:rPr>
          <w:rFonts w:ascii="Gill Sans MT" w:hAnsi="Gill Sans MT" w:cs="Arial"/>
          <w:bCs/>
          <w:iCs/>
        </w:rPr>
        <w:t>Major Individual Prospects</w:t>
      </w:r>
    </w:p>
    <w:p w:rsidR="00E34E90" w:rsidRPr="0000666C" w:rsidRDefault="00E34E90" w:rsidP="00E34E90">
      <w:pPr>
        <w:pStyle w:val="ListParagraph"/>
        <w:widowControl w:val="0"/>
        <w:numPr>
          <w:ilvl w:val="0"/>
          <w:numId w:val="39"/>
        </w:numPr>
        <w:autoSpaceDE w:val="0"/>
        <w:autoSpaceDN w:val="0"/>
        <w:adjustRightInd w:val="0"/>
        <w:spacing w:after="0" w:line="240" w:lineRule="auto"/>
        <w:rPr>
          <w:rFonts w:ascii="Gill Sans MT" w:hAnsi="Gill Sans MT" w:cs="Arial"/>
          <w:bCs/>
          <w:iCs/>
        </w:rPr>
      </w:pPr>
      <w:r w:rsidRPr="0000666C">
        <w:rPr>
          <w:rFonts w:ascii="Gill Sans MT" w:hAnsi="Gill Sans MT" w:cs="Arial"/>
          <w:bCs/>
          <w:iCs/>
        </w:rPr>
        <w:t>Trusts and Foundations</w:t>
      </w:r>
    </w:p>
    <w:p w:rsidR="00E34E90" w:rsidRPr="0000666C" w:rsidRDefault="00E34E90" w:rsidP="00E34E90">
      <w:pPr>
        <w:pStyle w:val="ListParagraph"/>
        <w:widowControl w:val="0"/>
        <w:numPr>
          <w:ilvl w:val="0"/>
          <w:numId w:val="39"/>
        </w:numPr>
        <w:autoSpaceDE w:val="0"/>
        <w:autoSpaceDN w:val="0"/>
        <w:adjustRightInd w:val="0"/>
        <w:spacing w:after="0" w:line="240" w:lineRule="auto"/>
        <w:rPr>
          <w:rFonts w:ascii="Gill Sans MT" w:hAnsi="Gill Sans MT" w:cs="Arial"/>
          <w:bCs/>
          <w:iCs/>
        </w:rPr>
      </w:pPr>
      <w:r w:rsidRPr="0000666C">
        <w:rPr>
          <w:rFonts w:ascii="Gill Sans MT" w:hAnsi="Gill Sans MT" w:cs="Arial"/>
          <w:bCs/>
          <w:iCs/>
        </w:rPr>
        <w:t>Supporters and Corporate Partners</w:t>
      </w:r>
    </w:p>
    <w:p w:rsidR="00E34E90" w:rsidRPr="0000666C" w:rsidRDefault="00E34E90" w:rsidP="00E34E90">
      <w:pPr>
        <w:pStyle w:val="ListParagraph"/>
        <w:widowControl w:val="0"/>
        <w:numPr>
          <w:ilvl w:val="0"/>
          <w:numId w:val="39"/>
        </w:numPr>
        <w:autoSpaceDE w:val="0"/>
        <w:autoSpaceDN w:val="0"/>
        <w:adjustRightInd w:val="0"/>
        <w:spacing w:after="0" w:line="240" w:lineRule="auto"/>
        <w:rPr>
          <w:rFonts w:ascii="Gill Sans MT" w:hAnsi="Gill Sans MT" w:cs="Arial"/>
          <w:bCs/>
          <w:iCs/>
        </w:rPr>
      </w:pPr>
      <w:r w:rsidRPr="0000666C">
        <w:rPr>
          <w:rFonts w:ascii="Gill Sans MT" w:hAnsi="Gill Sans MT" w:cs="Arial"/>
          <w:bCs/>
          <w:iCs/>
        </w:rPr>
        <w:t>Government and other external agencies</w:t>
      </w:r>
    </w:p>
    <w:p w:rsidR="00E34E90" w:rsidRDefault="00E34E90" w:rsidP="00E34E90">
      <w:pPr>
        <w:spacing w:after="0" w:line="240" w:lineRule="auto"/>
        <w:rPr>
          <w:rFonts w:ascii="Gill Sans MT" w:hAnsi="Gill Sans MT"/>
        </w:rPr>
      </w:pPr>
    </w:p>
    <w:p w:rsidR="00E34E90" w:rsidRPr="0017105E" w:rsidRDefault="00E34E90" w:rsidP="00E34E90">
      <w:pPr>
        <w:spacing w:after="0" w:line="240" w:lineRule="auto"/>
        <w:rPr>
          <w:rFonts w:ascii="Gill Sans MT" w:hAnsi="Gill Sans MT"/>
        </w:rPr>
      </w:pPr>
      <w:r w:rsidRPr="0017105E">
        <w:rPr>
          <w:rFonts w:ascii="Gill Sans MT" w:hAnsi="Gill Sans MT"/>
        </w:rPr>
        <w:t>The way in which an organisation thanks  and  recognises  donor  support  can  make  the  difference  between  long</w:t>
      </w:r>
      <w:r>
        <w:rPr>
          <w:rFonts w:ascii="Gill Sans MT" w:hAnsi="Gill Sans MT"/>
        </w:rPr>
        <w:t>-</w:t>
      </w:r>
      <w:r w:rsidRPr="0017105E">
        <w:rPr>
          <w:rFonts w:ascii="Gill Sans MT" w:hAnsi="Gill Sans MT"/>
        </w:rPr>
        <w:t xml:space="preserve">term sustainability and success and failure. The biggest reason </w:t>
      </w:r>
      <w:r>
        <w:rPr>
          <w:rFonts w:ascii="Gill Sans MT" w:hAnsi="Gill Sans MT"/>
        </w:rPr>
        <w:t xml:space="preserve">for </w:t>
      </w:r>
      <w:r w:rsidRPr="0017105E">
        <w:rPr>
          <w:rFonts w:ascii="Gill Sans MT" w:hAnsi="Gill Sans MT"/>
        </w:rPr>
        <w:t>individuals stop</w:t>
      </w:r>
      <w:r>
        <w:rPr>
          <w:rFonts w:ascii="Gill Sans MT" w:hAnsi="Gill Sans MT"/>
        </w:rPr>
        <w:t>ping</w:t>
      </w:r>
      <w:r w:rsidRPr="0017105E">
        <w:rPr>
          <w:rFonts w:ascii="Gill Sans MT" w:hAnsi="Gill Sans MT"/>
        </w:rPr>
        <w:t xml:space="preserve"> support</w:t>
      </w:r>
      <w:r>
        <w:rPr>
          <w:rFonts w:ascii="Gill Sans MT" w:hAnsi="Gill Sans MT"/>
        </w:rPr>
        <w:t xml:space="preserve"> for</w:t>
      </w:r>
      <w:r w:rsidRPr="0017105E">
        <w:rPr>
          <w:rFonts w:ascii="Gill Sans MT" w:hAnsi="Gill Sans MT"/>
        </w:rPr>
        <w:t xml:space="preserve"> a cause is by not receiving a thank</w:t>
      </w:r>
      <w:r>
        <w:rPr>
          <w:rFonts w:ascii="Gill Sans MT" w:hAnsi="Gill Sans MT"/>
        </w:rPr>
        <w:t>-</w:t>
      </w:r>
      <w:r w:rsidRPr="0017105E">
        <w:rPr>
          <w:rFonts w:ascii="Gill Sans MT" w:hAnsi="Gill Sans MT"/>
        </w:rPr>
        <w:t xml:space="preserve">you in </w:t>
      </w:r>
      <w:r>
        <w:rPr>
          <w:rFonts w:ascii="Gill Sans MT" w:hAnsi="Gill Sans MT"/>
        </w:rPr>
        <w:t>a</w:t>
      </w:r>
      <w:r w:rsidRPr="0017105E">
        <w:rPr>
          <w:rFonts w:ascii="Gill Sans MT" w:hAnsi="Gill Sans MT"/>
        </w:rPr>
        <w:t xml:space="preserve"> timely and tailored way. Currently best practice is that donors should be thanked within three days of the receipt of the gift</w:t>
      </w:r>
      <w:r>
        <w:rPr>
          <w:rFonts w:ascii="Gill Sans MT" w:hAnsi="Gill Sans MT"/>
        </w:rPr>
        <w:t>, and it</w:t>
      </w:r>
      <w:r w:rsidRPr="0017105E">
        <w:rPr>
          <w:rFonts w:ascii="Gill Sans MT" w:hAnsi="Gill Sans MT"/>
        </w:rPr>
        <w:t xml:space="preserve"> needs to make the individual feel</w:t>
      </w:r>
      <w:r>
        <w:rPr>
          <w:rFonts w:ascii="Gill Sans MT" w:hAnsi="Gill Sans MT"/>
        </w:rPr>
        <w:t xml:space="preserve"> </w:t>
      </w:r>
      <w:r w:rsidRPr="0017105E">
        <w:rPr>
          <w:rFonts w:ascii="Gill Sans MT" w:hAnsi="Gill Sans MT"/>
        </w:rPr>
        <w:t xml:space="preserve">that their contribution is highly valued by </w:t>
      </w:r>
      <w:r>
        <w:rPr>
          <w:rFonts w:ascii="Gill Sans MT" w:hAnsi="Gill Sans MT"/>
        </w:rPr>
        <w:t>OSS and so</w:t>
      </w:r>
      <w:r w:rsidRPr="0017105E">
        <w:rPr>
          <w:rFonts w:ascii="Gill Sans MT" w:hAnsi="Gill Sans MT"/>
        </w:rPr>
        <w:t xml:space="preserve"> come across as being tailored to each donor.</w:t>
      </w:r>
    </w:p>
    <w:p w:rsidR="00E34E90" w:rsidRPr="0017105E" w:rsidRDefault="00E34E90" w:rsidP="00E34E90">
      <w:pPr>
        <w:spacing w:after="0" w:line="240" w:lineRule="auto"/>
        <w:rPr>
          <w:rFonts w:ascii="Gill Sans MT" w:hAnsi="Gill Sans MT"/>
        </w:rPr>
      </w:pPr>
    </w:p>
    <w:p w:rsidR="00E34E90" w:rsidRDefault="00E34E90" w:rsidP="00E34E90">
      <w:pPr>
        <w:spacing w:after="0" w:line="240" w:lineRule="auto"/>
        <w:rPr>
          <w:rFonts w:ascii="Gill Sans MT" w:hAnsi="Gill Sans MT"/>
        </w:rPr>
      </w:pPr>
      <w:r>
        <w:rPr>
          <w:rFonts w:ascii="Gill Sans MT" w:hAnsi="Gill Sans MT"/>
        </w:rPr>
        <w:t>All donations will receive a confirmation email from OSS as soon as possible after notification of the donation with a personal follow-up email/letter from the OSS individual who solicited the donation or the Director within a week.</w:t>
      </w:r>
    </w:p>
    <w:p w:rsidR="00E34E90" w:rsidRDefault="00E34E90" w:rsidP="00E34E90">
      <w:pPr>
        <w:spacing w:after="0" w:line="240" w:lineRule="auto"/>
        <w:rPr>
          <w:rFonts w:ascii="Gill Sans MT" w:hAnsi="Gill Sans MT"/>
        </w:rPr>
      </w:pPr>
    </w:p>
    <w:p w:rsidR="00E34E90" w:rsidRPr="0017105E" w:rsidRDefault="00E34E90" w:rsidP="00E34E90">
      <w:pPr>
        <w:spacing w:after="0" w:line="240" w:lineRule="auto"/>
        <w:rPr>
          <w:rFonts w:ascii="Gill Sans MT" w:hAnsi="Gill Sans MT"/>
        </w:rPr>
      </w:pPr>
      <w:r>
        <w:rPr>
          <w:rFonts w:ascii="Gill Sans MT" w:hAnsi="Gill Sans MT"/>
        </w:rPr>
        <w:t>Gifts</w:t>
      </w:r>
      <w:r w:rsidRPr="0017105E">
        <w:rPr>
          <w:rFonts w:ascii="Gill Sans MT" w:hAnsi="Gill Sans MT"/>
        </w:rPr>
        <w:t xml:space="preserve"> above £1,000 should receive a thank you letter signed </w:t>
      </w:r>
      <w:r>
        <w:rPr>
          <w:rFonts w:ascii="Gill Sans MT" w:hAnsi="Gill Sans MT"/>
        </w:rPr>
        <w:t>by the Executive Director,</w:t>
      </w:r>
      <w:r w:rsidRPr="0017105E">
        <w:rPr>
          <w:rFonts w:ascii="Gill Sans MT" w:hAnsi="Gill Sans MT"/>
        </w:rPr>
        <w:t xml:space="preserve"> with an invitation to a</w:t>
      </w:r>
      <w:r>
        <w:rPr>
          <w:rFonts w:ascii="Gill Sans MT" w:hAnsi="Gill Sans MT"/>
        </w:rPr>
        <w:t xml:space="preserve"> relevant OSS event or including relevant completed research.</w:t>
      </w:r>
      <w:r w:rsidRPr="0017105E">
        <w:rPr>
          <w:rFonts w:ascii="Gill Sans MT" w:hAnsi="Gill Sans MT"/>
        </w:rPr>
        <w:t xml:space="preserve"> Any gifts above</w:t>
      </w:r>
      <w:r>
        <w:rPr>
          <w:rFonts w:ascii="Gill Sans MT" w:hAnsi="Gill Sans MT"/>
        </w:rPr>
        <w:t xml:space="preserve"> </w:t>
      </w:r>
      <w:r w:rsidRPr="0017105E">
        <w:rPr>
          <w:rFonts w:ascii="Gill Sans MT" w:hAnsi="Gill Sans MT"/>
        </w:rPr>
        <w:t xml:space="preserve">£5,000 should have a direct and personal thank you from the </w:t>
      </w:r>
      <w:r>
        <w:rPr>
          <w:rFonts w:ascii="Gill Sans MT" w:hAnsi="Gill Sans MT"/>
        </w:rPr>
        <w:t>Chairman and highly personalised follow-up</w:t>
      </w:r>
      <w:r w:rsidRPr="0017105E">
        <w:rPr>
          <w:rFonts w:ascii="Gill Sans MT" w:hAnsi="Gill Sans MT"/>
        </w:rPr>
        <w:t>.</w:t>
      </w:r>
    </w:p>
    <w:p w:rsidR="00E34E90" w:rsidRPr="0017105E" w:rsidRDefault="00E34E90" w:rsidP="00E34E90">
      <w:pPr>
        <w:spacing w:after="0" w:line="240" w:lineRule="auto"/>
        <w:rPr>
          <w:rFonts w:ascii="Gill Sans MT" w:hAnsi="Gill Sans MT"/>
        </w:rPr>
      </w:pPr>
    </w:p>
    <w:p w:rsidR="00E34E90" w:rsidRPr="0017105E" w:rsidRDefault="00E34E90" w:rsidP="00E34E90">
      <w:pPr>
        <w:spacing w:after="0" w:line="240" w:lineRule="auto"/>
        <w:rPr>
          <w:rFonts w:ascii="Gill Sans MT" w:hAnsi="Gill Sans MT"/>
        </w:rPr>
      </w:pPr>
      <w:r w:rsidRPr="0017105E">
        <w:rPr>
          <w:rFonts w:ascii="Gill Sans MT" w:hAnsi="Gill Sans MT"/>
        </w:rPr>
        <w:t>It is important to note that the type of thank you given should remain within the thresholds permitted by HMRC. Stewardship should always involve:</w:t>
      </w:r>
    </w:p>
    <w:p w:rsidR="00E34E90" w:rsidRPr="0017105E" w:rsidRDefault="00E34E90" w:rsidP="00E34E90">
      <w:pPr>
        <w:pStyle w:val="ListParagraph"/>
        <w:numPr>
          <w:ilvl w:val="0"/>
          <w:numId w:val="15"/>
        </w:numPr>
        <w:spacing w:after="0" w:line="240" w:lineRule="auto"/>
        <w:rPr>
          <w:rFonts w:ascii="Gill Sans MT" w:hAnsi="Gill Sans MT"/>
        </w:rPr>
      </w:pPr>
      <w:r w:rsidRPr="0017105E">
        <w:rPr>
          <w:rFonts w:ascii="Gill Sans MT" w:hAnsi="Gill Sans MT"/>
        </w:rPr>
        <w:t>A personalised written thank you within three days of the gift that is ideally personalised to the donor</w:t>
      </w:r>
      <w:r>
        <w:rPr>
          <w:rFonts w:ascii="Gill Sans MT" w:hAnsi="Gill Sans MT"/>
        </w:rPr>
        <w:t xml:space="preserve"> and personalised email/letter from relevant OSS contact;</w:t>
      </w:r>
    </w:p>
    <w:p w:rsidR="00E34E90" w:rsidRDefault="00E34E90" w:rsidP="00E34E90">
      <w:pPr>
        <w:pStyle w:val="ListParagraph"/>
        <w:numPr>
          <w:ilvl w:val="0"/>
          <w:numId w:val="15"/>
        </w:numPr>
        <w:spacing w:after="0" w:line="240" w:lineRule="auto"/>
        <w:rPr>
          <w:rFonts w:ascii="Gill Sans MT" w:hAnsi="Gill Sans MT"/>
        </w:rPr>
      </w:pPr>
      <w:r w:rsidRPr="0017105E">
        <w:rPr>
          <w:rFonts w:ascii="Gill Sans MT" w:hAnsi="Gill Sans MT"/>
        </w:rPr>
        <w:t>Invitations to relevant events at the appropriate level and within HMRC gift aid benefit rules</w:t>
      </w:r>
      <w:r>
        <w:rPr>
          <w:rFonts w:ascii="Gill Sans MT" w:hAnsi="Gill Sans MT"/>
        </w:rPr>
        <w:t>;</w:t>
      </w:r>
    </w:p>
    <w:p w:rsidR="00E34E90" w:rsidRPr="0017105E" w:rsidRDefault="00E34E90" w:rsidP="00E34E90">
      <w:pPr>
        <w:pStyle w:val="ListParagraph"/>
        <w:numPr>
          <w:ilvl w:val="0"/>
          <w:numId w:val="15"/>
        </w:numPr>
        <w:spacing w:after="0" w:line="240" w:lineRule="auto"/>
        <w:rPr>
          <w:rFonts w:ascii="Gill Sans MT" w:hAnsi="Gill Sans MT"/>
        </w:rPr>
      </w:pPr>
      <w:r>
        <w:rPr>
          <w:rFonts w:ascii="Gill Sans MT" w:hAnsi="Gill Sans MT"/>
        </w:rPr>
        <w:t>Monthly newsletter;</w:t>
      </w:r>
    </w:p>
    <w:p w:rsidR="00E34E90" w:rsidRDefault="00E34E90" w:rsidP="00E34E90">
      <w:pPr>
        <w:pStyle w:val="ListParagraph"/>
        <w:numPr>
          <w:ilvl w:val="0"/>
          <w:numId w:val="15"/>
        </w:numPr>
        <w:spacing w:after="0" w:line="240" w:lineRule="auto"/>
        <w:rPr>
          <w:rFonts w:ascii="Gill Sans MT" w:hAnsi="Gill Sans MT"/>
        </w:rPr>
      </w:pPr>
      <w:r>
        <w:rPr>
          <w:rFonts w:ascii="Gill Sans MT" w:hAnsi="Gill Sans MT"/>
        </w:rPr>
        <w:t>Update</w:t>
      </w:r>
      <w:r w:rsidRPr="00C870D3">
        <w:rPr>
          <w:rFonts w:ascii="Gill Sans MT" w:hAnsi="Gill Sans MT"/>
        </w:rPr>
        <w:t xml:space="preserve"> on the anniversary of the gift</w:t>
      </w:r>
      <w:r>
        <w:rPr>
          <w:rFonts w:ascii="Gill Sans MT" w:hAnsi="Gill Sans MT"/>
        </w:rPr>
        <w:t xml:space="preserve"> or on completion of specific pieces of work if a donation was given to that specific work.</w:t>
      </w:r>
    </w:p>
    <w:p w:rsidR="00E34E90" w:rsidRPr="00C870D3" w:rsidRDefault="00E34E90" w:rsidP="00E34E90">
      <w:pPr>
        <w:pStyle w:val="ListParagraph"/>
        <w:spacing w:after="0" w:line="240" w:lineRule="auto"/>
        <w:rPr>
          <w:rFonts w:ascii="Gill Sans MT" w:hAnsi="Gill Sans MT"/>
        </w:rPr>
      </w:pPr>
    </w:p>
    <w:p w:rsidR="00E34E90" w:rsidRDefault="00E34E90" w:rsidP="00E34E90">
      <w:pPr>
        <w:spacing w:after="0" w:line="240" w:lineRule="auto"/>
        <w:rPr>
          <w:rFonts w:ascii="Gill Sans MT" w:hAnsi="Gill Sans MT"/>
        </w:rPr>
      </w:pPr>
      <w:r>
        <w:rPr>
          <w:rFonts w:ascii="Gill Sans MT" w:hAnsi="Gill Sans MT"/>
        </w:rPr>
        <w:t>OSS has developed</w:t>
      </w:r>
      <w:r w:rsidRPr="0017105E">
        <w:rPr>
          <w:rFonts w:ascii="Gill Sans MT" w:hAnsi="Gill Sans MT"/>
        </w:rPr>
        <w:t xml:space="preserve"> a new stewardship policy and matrix, defining what donors will receive by way of thanking in line with the level of gift they have given. This will provide a quick and easy reference point for </w:t>
      </w:r>
      <w:r>
        <w:rPr>
          <w:rFonts w:ascii="Gill Sans MT" w:hAnsi="Gill Sans MT"/>
        </w:rPr>
        <w:t>all Trustees and other volunteers</w:t>
      </w:r>
      <w:r w:rsidRPr="0017105E">
        <w:rPr>
          <w:rFonts w:ascii="Gill Sans MT" w:hAnsi="Gill Sans MT"/>
        </w:rPr>
        <w:t>, ensure parity of thanking across all fundraising activity and compliance with HMRC and fundraising best practice guidelines.</w:t>
      </w:r>
    </w:p>
    <w:p w:rsidR="00E34E90" w:rsidRPr="00E34E90" w:rsidRDefault="00E34E90" w:rsidP="00E34E90">
      <w:pPr>
        <w:spacing w:after="0" w:line="240" w:lineRule="auto"/>
        <w:rPr>
          <w:rFonts w:ascii="Gill Sans MT" w:hAnsi="Gill Sans MT"/>
        </w:rPr>
      </w:pPr>
    </w:p>
    <w:p w:rsidR="00E34E90" w:rsidRDefault="00E34E90" w:rsidP="00D93846">
      <w:pPr>
        <w:pStyle w:val="Heading2"/>
        <w:rPr>
          <w:rFonts w:ascii="Gill Sans MT" w:hAnsi="Gill Sans MT"/>
          <w:b/>
          <w:sz w:val="24"/>
          <w:szCs w:val="24"/>
        </w:rPr>
      </w:pPr>
    </w:p>
    <w:p w:rsidR="00D93846" w:rsidRDefault="00D93846" w:rsidP="00D93846">
      <w:pPr>
        <w:pStyle w:val="Heading2"/>
        <w:rPr>
          <w:rFonts w:ascii="Gill Sans MT" w:hAnsi="Gill Sans MT"/>
          <w:b/>
          <w:sz w:val="24"/>
          <w:szCs w:val="24"/>
        </w:rPr>
      </w:pPr>
      <w:bookmarkStart w:id="9" w:name="_Toc41610211"/>
      <w:r>
        <w:rPr>
          <w:rFonts w:ascii="Gill Sans MT" w:hAnsi="Gill Sans MT"/>
          <w:b/>
          <w:sz w:val="24"/>
          <w:szCs w:val="24"/>
        </w:rPr>
        <w:t>Budget and Resource</w:t>
      </w:r>
      <w:bookmarkEnd w:id="9"/>
    </w:p>
    <w:p w:rsidR="00D93846" w:rsidRPr="00D93846" w:rsidRDefault="00D93846" w:rsidP="005A0701">
      <w:pPr>
        <w:rPr>
          <w:sz w:val="10"/>
          <w:szCs w:val="10"/>
        </w:rPr>
      </w:pPr>
    </w:p>
    <w:p w:rsidR="005A0701" w:rsidRPr="0017105E" w:rsidRDefault="005A0701" w:rsidP="005A0701">
      <w:pPr>
        <w:rPr>
          <w:rFonts w:ascii="Gill Sans MT" w:hAnsi="Gill Sans MT"/>
        </w:rPr>
      </w:pPr>
      <w:r>
        <w:rPr>
          <w:rFonts w:ascii="Gill Sans MT" w:hAnsi="Gill Sans MT"/>
        </w:rPr>
        <w:t xml:space="preserve">OSS </w:t>
      </w:r>
      <w:r w:rsidR="00D93846">
        <w:rPr>
          <w:rFonts w:ascii="Gill Sans MT" w:hAnsi="Gill Sans MT"/>
        </w:rPr>
        <w:t>is seeking</w:t>
      </w:r>
      <w:r>
        <w:rPr>
          <w:rFonts w:ascii="Gill Sans MT" w:hAnsi="Gill Sans MT"/>
        </w:rPr>
        <w:t xml:space="preserve"> to raise at least £150,000 a year to </w:t>
      </w:r>
      <w:r w:rsidR="00D93846">
        <w:rPr>
          <w:rFonts w:ascii="Gill Sans MT" w:hAnsi="Gill Sans MT"/>
        </w:rPr>
        <w:t>develop the organisation</w:t>
      </w:r>
      <w:r>
        <w:rPr>
          <w:rFonts w:ascii="Gill Sans MT" w:hAnsi="Gill Sans MT"/>
        </w:rPr>
        <w:t xml:space="preserve"> and </w:t>
      </w:r>
      <w:r w:rsidR="00D93846">
        <w:rPr>
          <w:rFonts w:ascii="Gill Sans MT" w:hAnsi="Gill Sans MT"/>
        </w:rPr>
        <w:t>aims</w:t>
      </w:r>
      <w:r>
        <w:rPr>
          <w:rFonts w:ascii="Gill Sans MT" w:hAnsi="Gill Sans MT"/>
        </w:rPr>
        <w:t xml:space="preserve"> to exceed this to grow and support </w:t>
      </w:r>
      <w:r w:rsidR="00D93846">
        <w:rPr>
          <w:rFonts w:ascii="Gill Sans MT" w:hAnsi="Gill Sans MT"/>
        </w:rPr>
        <w:t>a wider array of</w:t>
      </w:r>
      <w:r>
        <w:rPr>
          <w:rFonts w:ascii="Gill Sans MT" w:hAnsi="Gill Sans MT"/>
        </w:rPr>
        <w:t xml:space="preserve"> research programmes </w:t>
      </w:r>
      <w:r w:rsidR="00D93846">
        <w:rPr>
          <w:rFonts w:ascii="Gill Sans MT" w:hAnsi="Gill Sans MT"/>
        </w:rPr>
        <w:t>and grow the staff complement</w:t>
      </w:r>
      <w:r>
        <w:rPr>
          <w:rFonts w:ascii="Gill Sans MT" w:hAnsi="Gill Sans MT"/>
        </w:rPr>
        <w:t xml:space="preserve">. The charity has identified a target of £300,000 to be raised </w:t>
      </w:r>
      <w:r w:rsidR="00D93846">
        <w:rPr>
          <w:rFonts w:ascii="Gill Sans MT" w:hAnsi="Gill Sans MT"/>
        </w:rPr>
        <w:t>by 2021 and a total of £1m from 2015 to 2023</w:t>
      </w:r>
      <w:r>
        <w:rPr>
          <w:rFonts w:ascii="Gill Sans MT" w:hAnsi="Gill Sans MT"/>
        </w:rPr>
        <w:t>. For an organisation of the nature of OSS, this is a substantive target to achieve in a difficult funding climate.</w:t>
      </w:r>
      <w:r w:rsidRPr="0017105E">
        <w:rPr>
          <w:rFonts w:ascii="Gill Sans MT" w:hAnsi="Gill Sans MT"/>
        </w:rPr>
        <w:t xml:space="preserve"> </w:t>
      </w:r>
      <w:r w:rsidR="00D93846">
        <w:rPr>
          <w:rFonts w:ascii="Gill Sans MT" w:hAnsi="Gill Sans MT"/>
        </w:rPr>
        <w:t xml:space="preserve">However, </w:t>
      </w:r>
      <w:r>
        <w:rPr>
          <w:rFonts w:ascii="Gill Sans MT" w:hAnsi="Gill Sans MT"/>
        </w:rPr>
        <w:t xml:space="preserve">OSS has </w:t>
      </w:r>
      <w:r w:rsidR="00D93846">
        <w:rPr>
          <w:rFonts w:ascii="Gill Sans MT" w:hAnsi="Gill Sans MT"/>
        </w:rPr>
        <w:t>benefited from the short-term work of an experienced fundraiser, and has strong fundraising volunteers in Iain More and Stuart Armstrong guiding the Director and Programme Officer.</w:t>
      </w:r>
      <w:r>
        <w:rPr>
          <w:rFonts w:ascii="Gill Sans MT" w:hAnsi="Gill Sans MT"/>
        </w:rPr>
        <w:t xml:space="preserve">  Longer term, OSS will </w:t>
      </w:r>
      <w:r w:rsidR="00D93846">
        <w:rPr>
          <w:rFonts w:ascii="Gill Sans MT" w:hAnsi="Gill Sans MT"/>
        </w:rPr>
        <w:t>seek</w:t>
      </w:r>
      <w:r>
        <w:rPr>
          <w:rFonts w:ascii="Gill Sans MT" w:hAnsi="Gill Sans MT"/>
        </w:rPr>
        <w:t xml:space="preserve"> to </w:t>
      </w:r>
      <w:r w:rsidR="00D93846">
        <w:rPr>
          <w:rFonts w:ascii="Gill Sans MT" w:hAnsi="Gill Sans MT"/>
        </w:rPr>
        <w:t>create</w:t>
      </w:r>
      <w:r>
        <w:rPr>
          <w:rFonts w:ascii="Gill Sans MT" w:hAnsi="Gill Sans MT"/>
        </w:rPr>
        <w:t xml:space="preserve"> a full</w:t>
      </w:r>
      <w:r w:rsidR="00D93846">
        <w:rPr>
          <w:rFonts w:ascii="Gill Sans MT" w:hAnsi="Gill Sans MT"/>
        </w:rPr>
        <w:t>-</w:t>
      </w:r>
      <w:r>
        <w:rPr>
          <w:rFonts w:ascii="Gill Sans MT" w:hAnsi="Gill Sans MT"/>
        </w:rPr>
        <w:t xml:space="preserve">time </w:t>
      </w:r>
      <w:r w:rsidR="00D93846">
        <w:rPr>
          <w:rFonts w:ascii="Gill Sans MT" w:hAnsi="Gill Sans MT"/>
        </w:rPr>
        <w:t>Fundraising Manager/Director and fundraising researcher</w:t>
      </w:r>
      <w:r>
        <w:rPr>
          <w:rFonts w:ascii="Gill Sans MT" w:hAnsi="Gill Sans MT"/>
        </w:rPr>
        <w:t xml:space="preserve"> to grow the fundraising require</w:t>
      </w:r>
      <w:r w:rsidR="00D93846">
        <w:rPr>
          <w:rFonts w:ascii="Gill Sans MT" w:hAnsi="Gill Sans MT"/>
        </w:rPr>
        <w:t>d</w:t>
      </w:r>
      <w:r>
        <w:rPr>
          <w:rFonts w:ascii="Gill Sans MT" w:hAnsi="Gill Sans MT"/>
        </w:rPr>
        <w:t xml:space="preserve"> to </w:t>
      </w:r>
      <w:r w:rsidR="00D93846">
        <w:rPr>
          <w:rFonts w:ascii="Gill Sans MT" w:hAnsi="Gill Sans MT"/>
        </w:rPr>
        <w:t>develop the organisation.</w:t>
      </w:r>
    </w:p>
    <w:p w:rsidR="005A0701" w:rsidRPr="0017105E" w:rsidRDefault="005A0701" w:rsidP="005A0701">
      <w:pPr>
        <w:rPr>
          <w:rFonts w:ascii="Gill Sans MT" w:hAnsi="Gill Sans MT"/>
        </w:rPr>
      </w:pPr>
      <w:r w:rsidRPr="0017105E">
        <w:rPr>
          <w:rFonts w:ascii="Gill Sans MT" w:hAnsi="Gill Sans MT"/>
        </w:rPr>
        <w:t xml:space="preserve">Considering all the above the following outlines a realistic income and expenditure budget for </w:t>
      </w:r>
      <w:r>
        <w:rPr>
          <w:rFonts w:ascii="Gill Sans MT" w:hAnsi="Gill Sans MT"/>
        </w:rPr>
        <w:t>OSS</w:t>
      </w:r>
      <w:r w:rsidRPr="0017105E">
        <w:rPr>
          <w:rFonts w:ascii="Gill Sans MT" w:hAnsi="Gill Sans MT"/>
        </w:rPr>
        <w:t xml:space="preserve"> fundraising over a </w:t>
      </w:r>
      <w:r>
        <w:rPr>
          <w:rFonts w:ascii="Gill Sans MT" w:hAnsi="Gill Sans MT"/>
        </w:rPr>
        <w:t>three year</w:t>
      </w:r>
      <w:r w:rsidRPr="0017105E">
        <w:rPr>
          <w:rFonts w:ascii="Gill Sans MT" w:hAnsi="Gill Sans MT"/>
        </w:rPr>
        <w:t xml:space="preserve"> period is as follows</w:t>
      </w:r>
      <w:r>
        <w:rPr>
          <w:rFonts w:ascii="Gill Sans MT" w:hAnsi="Gill Sans MT"/>
        </w:rPr>
        <w:t xml:space="preserve"> – the Statutory amount is based upon looking to secure government funding – which will need to be balanced against maintaining independence</w:t>
      </w:r>
      <w:r w:rsidRPr="0017105E">
        <w:rPr>
          <w:rFonts w:ascii="Gill Sans MT" w:hAnsi="Gill Sans MT"/>
        </w:rPr>
        <w:t>:</w:t>
      </w:r>
    </w:p>
    <w:tbl>
      <w:tblPr>
        <w:tblStyle w:val="TableGrid"/>
        <w:tblW w:w="0" w:type="auto"/>
        <w:tblLook w:val="04A0" w:firstRow="1" w:lastRow="0" w:firstColumn="1" w:lastColumn="0" w:noHBand="0" w:noVBand="1"/>
      </w:tblPr>
      <w:tblGrid>
        <w:gridCol w:w="1882"/>
        <w:gridCol w:w="1810"/>
        <w:gridCol w:w="1810"/>
        <w:gridCol w:w="1704"/>
        <w:gridCol w:w="1704"/>
      </w:tblGrid>
      <w:tr w:rsidR="005A0701" w:rsidRPr="0017105E" w:rsidTr="00D83075">
        <w:tc>
          <w:tcPr>
            <w:tcW w:w="1882" w:type="dxa"/>
            <w:shd w:val="clear" w:color="auto" w:fill="00B0F0"/>
          </w:tcPr>
          <w:p w:rsidR="005A0701" w:rsidRPr="0017105E" w:rsidRDefault="005A0701" w:rsidP="00D83075">
            <w:pPr>
              <w:rPr>
                <w:rFonts w:ascii="Gill Sans MT" w:hAnsi="Gill Sans MT"/>
                <w:b/>
              </w:rPr>
            </w:pPr>
            <w:r w:rsidRPr="0017105E">
              <w:rPr>
                <w:rFonts w:ascii="Gill Sans MT" w:hAnsi="Gill Sans MT"/>
                <w:b/>
              </w:rPr>
              <w:t>Income</w:t>
            </w:r>
          </w:p>
        </w:tc>
        <w:tc>
          <w:tcPr>
            <w:tcW w:w="1810" w:type="dxa"/>
            <w:shd w:val="clear" w:color="auto" w:fill="00B0F0"/>
          </w:tcPr>
          <w:p w:rsidR="005A0701" w:rsidRPr="0017105E" w:rsidRDefault="005A0701" w:rsidP="00D83075">
            <w:pPr>
              <w:rPr>
                <w:rFonts w:ascii="Gill Sans MT" w:hAnsi="Gill Sans MT"/>
                <w:b/>
              </w:rPr>
            </w:pPr>
            <w:r>
              <w:rPr>
                <w:rFonts w:ascii="Gill Sans MT" w:hAnsi="Gill Sans MT"/>
                <w:b/>
              </w:rPr>
              <w:t xml:space="preserve">Year 1 </w:t>
            </w:r>
          </w:p>
        </w:tc>
        <w:tc>
          <w:tcPr>
            <w:tcW w:w="1810" w:type="dxa"/>
            <w:shd w:val="clear" w:color="auto" w:fill="00B0F0"/>
          </w:tcPr>
          <w:p w:rsidR="005A0701" w:rsidRPr="0017105E" w:rsidRDefault="005A0701" w:rsidP="00D83075">
            <w:pPr>
              <w:rPr>
                <w:rFonts w:ascii="Gill Sans MT" w:hAnsi="Gill Sans MT"/>
                <w:b/>
              </w:rPr>
            </w:pPr>
            <w:r>
              <w:rPr>
                <w:rFonts w:ascii="Gill Sans MT" w:hAnsi="Gill Sans MT"/>
                <w:b/>
              </w:rPr>
              <w:t>Year 2</w:t>
            </w:r>
          </w:p>
        </w:tc>
        <w:tc>
          <w:tcPr>
            <w:tcW w:w="1704" w:type="dxa"/>
            <w:shd w:val="clear" w:color="auto" w:fill="00B0F0"/>
          </w:tcPr>
          <w:p w:rsidR="005A0701" w:rsidRPr="0017105E" w:rsidRDefault="005A0701" w:rsidP="00D83075">
            <w:pPr>
              <w:rPr>
                <w:rFonts w:ascii="Gill Sans MT" w:hAnsi="Gill Sans MT"/>
                <w:b/>
              </w:rPr>
            </w:pPr>
            <w:r>
              <w:rPr>
                <w:rFonts w:ascii="Gill Sans MT" w:hAnsi="Gill Sans MT"/>
                <w:b/>
              </w:rPr>
              <w:t>Year 3</w:t>
            </w:r>
          </w:p>
        </w:tc>
        <w:tc>
          <w:tcPr>
            <w:tcW w:w="1704" w:type="dxa"/>
            <w:shd w:val="clear" w:color="auto" w:fill="00B0F0"/>
          </w:tcPr>
          <w:p w:rsidR="005A0701" w:rsidRPr="0017105E" w:rsidRDefault="005A0701" w:rsidP="00D83075">
            <w:pPr>
              <w:rPr>
                <w:rFonts w:ascii="Gill Sans MT" w:hAnsi="Gill Sans MT"/>
                <w:b/>
              </w:rPr>
            </w:pPr>
            <w:r w:rsidRPr="0017105E">
              <w:rPr>
                <w:rFonts w:ascii="Gill Sans MT" w:hAnsi="Gill Sans MT"/>
                <w:b/>
              </w:rPr>
              <w:t>Total</w:t>
            </w:r>
          </w:p>
        </w:tc>
      </w:tr>
      <w:tr w:rsidR="005A0701" w:rsidRPr="0017105E" w:rsidTr="00D83075">
        <w:tc>
          <w:tcPr>
            <w:tcW w:w="1882" w:type="dxa"/>
            <w:shd w:val="clear" w:color="auto" w:fill="00B0F0"/>
          </w:tcPr>
          <w:p w:rsidR="005A0701" w:rsidRPr="0017105E" w:rsidRDefault="005A0701" w:rsidP="00D83075">
            <w:pPr>
              <w:rPr>
                <w:rFonts w:ascii="Gill Sans MT" w:hAnsi="Gill Sans MT"/>
                <w:b/>
              </w:rPr>
            </w:pPr>
            <w:r w:rsidRPr="0017105E">
              <w:rPr>
                <w:rFonts w:ascii="Gill Sans MT" w:hAnsi="Gill Sans MT"/>
                <w:b/>
              </w:rPr>
              <w:t xml:space="preserve">Patrons </w:t>
            </w:r>
          </w:p>
        </w:tc>
        <w:tc>
          <w:tcPr>
            <w:tcW w:w="1810" w:type="dxa"/>
          </w:tcPr>
          <w:p w:rsidR="005A0701" w:rsidRPr="0017105E" w:rsidRDefault="005A0701" w:rsidP="00D83075">
            <w:pPr>
              <w:rPr>
                <w:rFonts w:ascii="Gill Sans MT" w:hAnsi="Gill Sans MT"/>
              </w:rPr>
            </w:pPr>
            <w:r w:rsidRPr="0017105E">
              <w:rPr>
                <w:rFonts w:ascii="Gill Sans MT" w:hAnsi="Gill Sans MT"/>
              </w:rPr>
              <w:t>£</w:t>
            </w:r>
            <w:r>
              <w:rPr>
                <w:rFonts w:ascii="Gill Sans MT" w:hAnsi="Gill Sans MT"/>
              </w:rPr>
              <w:t>5,000</w:t>
            </w:r>
          </w:p>
        </w:tc>
        <w:tc>
          <w:tcPr>
            <w:tcW w:w="1810" w:type="dxa"/>
          </w:tcPr>
          <w:p w:rsidR="005A0701" w:rsidRPr="0017105E" w:rsidRDefault="005A0701" w:rsidP="00D83075">
            <w:pPr>
              <w:rPr>
                <w:rFonts w:ascii="Gill Sans MT" w:hAnsi="Gill Sans MT"/>
              </w:rPr>
            </w:pPr>
            <w:r>
              <w:rPr>
                <w:rFonts w:ascii="Gill Sans MT" w:hAnsi="Gill Sans MT"/>
              </w:rPr>
              <w:t>£10,000</w:t>
            </w:r>
          </w:p>
        </w:tc>
        <w:tc>
          <w:tcPr>
            <w:tcW w:w="1704" w:type="dxa"/>
            <w:shd w:val="clear" w:color="auto" w:fill="auto"/>
          </w:tcPr>
          <w:p w:rsidR="005A0701" w:rsidRPr="004F120A" w:rsidRDefault="005A0701" w:rsidP="00D83075">
            <w:pPr>
              <w:rPr>
                <w:rFonts w:ascii="Gill Sans MT" w:hAnsi="Gill Sans MT"/>
              </w:rPr>
            </w:pPr>
            <w:r>
              <w:rPr>
                <w:rFonts w:ascii="Gill Sans MT" w:hAnsi="Gill Sans MT"/>
              </w:rPr>
              <w:t>£15,000</w:t>
            </w:r>
          </w:p>
        </w:tc>
        <w:tc>
          <w:tcPr>
            <w:tcW w:w="1704" w:type="dxa"/>
            <w:shd w:val="clear" w:color="auto" w:fill="00B0F0"/>
          </w:tcPr>
          <w:p w:rsidR="005A0701" w:rsidRPr="0017105E"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=SUM(LEFT) </w:instrText>
            </w:r>
            <w:r>
              <w:rPr>
                <w:rFonts w:ascii="Gill Sans MT" w:hAnsi="Gill Sans MT"/>
                <w:b/>
              </w:rPr>
              <w:fldChar w:fldCharType="separate"/>
            </w:r>
            <w:r>
              <w:rPr>
                <w:rFonts w:ascii="Gill Sans MT" w:hAnsi="Gill Sans MT"/>
                <w:b/>
                <w:noProof/>
              </w:rPr>
              <w:t>£30,000.00</w:t>
            </w:r>
            <w:r>
              <w:rPr>
                <w:rFonts w:ascii="Gill Sans MT" w:hAnsi="Gill Sans MT"/>
                <w:b/>
              </w:rPr>
              <w:fldChar w:fldCharType="end"/>
            </w:r>
          </w:p>
        </w:tc>
      </w:tr>
      <w:tr w:rsidR="005A0701" w:rsidRPr="0017105E" w:rsidTr="00D83075">
        <w:tc>
          <w:tcPr>
            <w:tcW w:w="1882" w:type="dxa"/>
            <w:shd w:val="clear" w:color="auto" w:fill="00B0F0"/>
          </w:tcPr>
          <w:p w:rsidR="005A0701" w:rsidRPr="0017105E" w:rsidRDefault="005A0701" w:rsidP="00D83075">
            <w:pPr>
              <w:rPr>
                <w:rFonts w:ascii="Gill Sans MT" w:hAnsi="Gill Sans MT"/>
                <w:b/>
              </w:rPr>
            </w:pPr>
            <w:r w:rsidRPr="0017105E">
              <w:rPr>
                <w:rFonts w:ascii="Gill Sans MT" w:hAnsi="Gill Sans MT"/>
                <w:b/>
              </w:rPr>
              <w:t>Individual Giving</w:t>
            </w:r>
          </w:p>
        </w:tc>
        <w:tc>
          <w:tcPr>
            <w:tcW w:w="1810" w:type="dxa"/>
          </w:tcPr>
          <w:p w:rsidR="005A0701" w:rsidRPr="0017105E" w:rsidRDefault="005A0701" w:rsidP="00D83075">
            <w:pPr>
              <w:rPr>
                <w:rFonts w:ascii="Gill Sans MT" w:hAnsi="Gill Sans MT"/>
              </w:rPr>
            </w:pPr>
            <w:r w:rsidRPr="0017105E">
              <w:rPr>
                <w:rFonts w:ascii="Gill Sans MT" w:hAnsi="Gill Sans MT"/>
              </w:rPr>
              <w:t>£</w:t>
            </w:r>
            <w:r>
              <w:rPr>
                <w:rFonts w:ascii="Gill Sans MT" w:hAnsi="Gill Sans MT"/>
              </w:rPr>
              <w:t>10,000</w:t>
            </w:r>
          </w:p>
        </w:tc>
        <w:tc>
          <w:tcPr>
            <w:tcW w:w="1810" w:type="dxa"/>
          </w:tcPr>
          <w:p w:rsidR="005A0701" w:rsidRPr="0017105E" w:rsidRDefault="005A0701" w:rsidP="00D83075">
            <w:pPr>
              <w:rPr>
                <w:rFonts w:ascii="Gill Sans MT" w:hAnsi="Gill Sans MT"/>
              </w:rPr>
            </w:pPr>
            <w:r>
              <w:rPr>
                <w:rFonts w:ascii="Gill Sans MT" w:hAnsi="Gill Sans MT"/>
              </w:rPr>
              <w:t>£12,000</w:t>
            </w:r>
          </w:p>
        </w:tc>
        <w:tc>
          <w:tcPr>
            <w:tcW w:w="1704" w:type="dxa"/>
            <w:shd w:val="clear" w:color="auto" w:fill="auto"/>
          </w:tcPr>
          <w:p w:rsidR="005A0701" w:rsidRPr="004F120A" w:rsidRDefault="005A0701" w:rsidP="00D83075">
            <w:pPr>
              <w:rPr>
                <w:rFonts w:ascii="Gill Sans MT" w:hAnsi="Gill Sans MT"/>
              </w:rPr>
            </w:pPr>
            <w:r>
              <w:rPr>
                <w:rFonts w:ascii="Gill Sans MT" w:hAnsi="Gill Sans MT"/>
              </w:rPr>
              <w:t>£14,000</w:t>
            </w:r>
          </w:p>
        </w:tc>
        <w:tc>
          <w:tcPr>
            <w:tcW w:w="1704" w:type="dxa"/>
            <w:shd w:val="clear" w:color="auto" w:fill="00B0F0"/>
          </w:tcPr>
          <w:p w:rsidR="005A0701" w:rsidRPr="0017105E"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=SUM(LEFT) </w:instrText>
            </w:r>
            <w:r>
              <w:rPr>
                <w:rFonts w:ascii="Gill Sans MT" w:hAnsi="Gill Sans MT"/>
                <w:b/>
              </w:rPr>
              <w:fldChar w:fldCharType="separate"/>
            </w:r>
            <w:r>
              <w:rPr>
                <w:rFonts w:ascii="Gill Sans MT" w:hAnsi="Gill Sans MT"/>
                <w:b/>
                <w:noProof/>
              </w:rPr>
              <w:t>£36,000.00</w:t>
            </w:r>
            <w:r>
              <w:rPr>
                <w:rFonts w:ascii="Gill Sans MT" w:hAnsi="Gill Sans MT"/>
                <w:b/>
              </w:rPr>
              <w:fldChar w:fldCharType="end"/>
            </w:r>
          </w:p>
        </w:tc>
      </w:tr>
      <w:tr w:rsidR="005A0701" w:rsidRPr="0017105E" w:rsidTr="00D83075">
        <w:tc>
          <w:tcPr>
            <w:tcW w:w="1882" w:type="dxa"/>
            <w:shd w:val="clear" w:color="auto" w:fill="00B0F0"/>
          </w:tcPr>
          <w:p w:rsidR="005A0701" w:rsidRPr="0017105E" w:rsidRDefault="005A0701" w:rsidP="00D83075">
            <w:pPr>
              <w:rPr>
                <w:rFonts w:ascii="Gill Sans MT" w:hAnsi="Gill Sans MT"/>
                <w:b/>
              </w:rPr>
            </w:pPr>
            <w:r w:rsidRPr="0017105E">
              <w:rPr>
                <w:rFonts w:ascii="Gill Sans MT" w:hAnsi="Gill Sans MT"/>
                <w:b/>
              </w:rPr>
              <w:t>Major Donors</w:t>
            </w:r>
          </w:p>
        </w:tc>
        <w:tc>
          <w:tcPr>
            <w:tcW w:w="1810" w:type="dxa"/>
          </w:tcPr>
          <w:p w:rsidR="005A0701" w:rsidRPr="0017105E" w:rsidRDefault="005A0701" w:rsidP="00D83075">
            <w:pPr>
              <w:rPr>
                <w:rFonts w:ascii="Gill Sans MT" w:hAnsi="Gill Sans MT"/>
              </w:rPr>
            </w:pPr>
            <w:r w:rsidRPr="0017105E">
              <w:rPr>
                <w:rFonts w:ascii="Gill Sans MT" w:hAnsi="Gill Sans MT"/>
              </w:rPr>
              <w:t>£</w:t>
            </w:r>
            <w:r>
              <w:rPr>
                <w:rFonts w:ascii="Gill Sans MT" w:hAnsi="Gill Sans MT"/>
              </w:rPr>
              <w:t>30,000</w:t>
            </w:r>
          </w:p>
        </w:tc>
        <w:tc>
          <w:tcPr>
            <w:tcW w:w="1810" w:type="dxa"/>
          </w:tcPr>
          <w:p w:rsidR="005A0701" w:rsidRPr="0017105E" w:rsidRDefault="005A0701" w:rsidP="00D83075">
            <w:pPr>
              <w:rPr>
                <w:rFonts w:ascii="Gill Sans MT" w:hAnsi="Gill Sans MT"/>
              </w:rPr>
            </w:pPr>
            <w:r>
              <w:rPr>
                <w:rFonts w:ascii="Gill Sans MT" w:hAnsi="Gill Sans MT"/>
              </w:rPr>
              <w:t>£50,000</w:t>
            </w:r>
          </w:p>
        </w:tc>
        <w:tc>
          <w:tcPr>
            <w:tcW w:w="1704" w:type="dxa"/>
            <w:shd w:val="clear" w:color="auto" w:fill="auto"/>
          </w:tcPr>
          <w:p w:rsidR="005A0701" w:rsidRPr="004F120A" w:rsidRDefault="005A0701" w:rsidP="00D83075">
            <w:pPr>
              <w:rPr>
                <w:rFonts w:ascii="Gill Sans MT" w:hAnsi="Gill Sans MT"/>
              </w:rPr>
            </w:pPr>
            <w:r>
              <w:rPr>
                <w:rFonts w:ascii="Gill Sans MT" w:hAnsi="Gill Sans MT"/>
              </w:rPr>
              <w:t>£80,000</w:t>
            </w:r>
          </w:p>
        </w:tc>
        <w:tc>
          <w:tcPr>
            <w:tcW w:w="1704" w:type="dxa"/>
            <w:shd w:val="clear" w:color="auto" w:fill="00B0F0"/>
          </w:tcPr>
          <w:p w:rsidR="005A0701" w:rsidRPr="0017105E"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=SUM(LEFT) </w:instrText>
            </w:r>
            <w:r>
              <w:rPr>
                <w:rFonts w:ascii="Gill Sans MT" w:hAnsi="Gill Sans MT"/>
                <w:b/>
              </w:rPr>
              <w:fldChar w:fldCharType="separate"/>
            </w:r>
            <w:r>
              <w:rPr>
                <w:rFonts w:ascii="Gill Sans MT" w:hAnsi="Gill Sans MT"/>
                <w:b/>
                <w:noProof/>
              </w:rPr>
              <w:t>£160,000.00</w:t>
            </w:r>
            <w:r>
              <w:rPr>
                <w:rFonts w:ascii="Gill Sans MT" w:hAnsi="Gill Sans MT"/>
                <w:b/>
              </w:rPr>
              <w:fldChar w:fldCharType="end"/>
            </w:r>
          </w:p>
        </w:tc>
      </w:tr>
      <w:tr w:rsidR="005A0701" w:rsidRPr="0017105E" w:rsidTr="00D83075">
        <w:tc>
          <w:tcPr>
            <w:tcW w:w="1882" w:type="dxa"/>
            <w:shd w:val="clear" w:color="auto" w:fill="00B0F0"/>
          </w:tcPr>
          <w:p w:rsidR="005A0701" w:rsidRPr="0017105E" w:rsidRDefault="005A0701" w:rsidP="00D83075">
            <w:pPr>
              <w:rPr>
                <w:rFonts w:ascii="Gill Sans MT" w:hAnsi="Gill Sans MT"/>
                <w:b/>
              </w:rPr>
            </w:pPr>
            <w:r w:rsidRPr="0017105E">
              <w:rPr>
                <w:rFonts w:ascii="Gill Sans MT" w:hAnsi="Gill Sans MT"/>
                <w:b/>
              </w:rPr>
              <w:t>Corporates</w:t>
            </w:r>
          </w:p>
        </w:tc>
        <w:tc>
          <w:tcPr>
            <w:tcW w:w="1810" w:type="dxa"/>
          </w:tcPr>
          <w:p w:rsidR="005A0701" w:rsidRPr="0017105E" w:rsidRDefault="005A0701" w:rsidP="00D83075">
            <w:pPr>
              <w:rPr>
                <w:rFonts w:ascii="Gill Sans MT" w:hAnsi="Gill Sans MT"/>
              </w:rPr>
            </w:pPr>
            <w:r w:rsidRPr="0017105E">
              <w:rPr>
                <w:rFonts w:ascii="Gill Sans MT" w:hAnsi="Gill Sans MT"/>
              </w:rPr>
              <w:t>£</w:t>
            </w:r>
            <w:r>
              <w:rPr>
                <w:rFonts w:ascii="Gill Sans MT" w:hAnsi="Gill Sans MT"/>
              </w:rPr>
              <w:t>2,500</w:t>
            </w:r>
          </w:p>
        </w:tc>
        <w:tc>
          <w:tcPr>
            <w:tcW w:w="1810" w:type="dxa"/>
          </w:tcPr>
          <w:p w:rsidR="005A0701" w:rsidRPr="0017105E" w:rsidRDefault="005A0701" w:rsidP="00D83075">
            <w:pPr>
              <w:rPr>
                <w:rFonts w:ascii="Gill Sans MT" w:hAnsi="Gill Sans MT"/>
              </w:rPr>
            </w:pPr>
            <w:r>
              <w:rPr>
                <w:rFonts w:ascii="Gill Sans MT" w:hAnsi="Gill Sans MT"/>
              </w:rPr>
              <w:t>£5,000</w:t>
            </w:r>
          </w:p>
        </w:tc>
        <w:tc>
          <w:tcPr>
            <w:tcW w:w="1704" w:type="dxa"/>
            <w:shd w:val="clear" w:color="auto" w:fill="auto"/>
          </w:tcPr>
          <w:p w:rsidR="005A0701" w:rsidRPr="004F120A" w:rsidRDefault="005A0701" w:rsidP="00D83075">
            <w:pPr>
              <w:rPr>
                <w:rFonts w:ascii="Gill Sans MT" w:hAnsi="Gill Sans MT"/>
              </w:rPr>
            </w:pPr>
            <w:r>
              <w:rPr>
                <w:rFonts w:ascii="Gill Sans MT" w:hAnsi="Gill Sans MT"/>
              </w:rPr>
              <w:t>£10,000</w:t>
            </w:r>
          </w:p>
        </w:tc>
        <w:tc>
          <w:tcPr>
            <w:tcW w:w="1704" w:type="dxa"/>
            <w:shd w:val="clear" w:color="auto" w:fill="00B0F0"/>
          </w:tcPr>
          <w:p w:rsidR="005A0701" w:rsidRPr="0017105E"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=SUM(LEFT) </w:instrText>
            </w:r>
            <w:r>
              <w:rPr>
                <w:rFonts w:ascii="Gill Sans MT" w:hAnsi="Gill Sans MT"/>
                <w:b/>
              </w:rPr>
              <w:fldChar w:fldCharType="separate"/>
            </w:r>
            <w:r>
              <w:rPr>
                <w:rFonts w:ascii="Gill Sans MT" w:hAnsi="Gill Sans MT"/>
                <w:b/>
                <w:noProof/>
              </w:rPr>
              <w:t>£17,500.00</w:t>
            </w:r>
            <w:r>
              <w:rPr>
                <w:rFonts w:ascii="Gill Sans MT" w:hAnsi="Gill Sans MT"/>
                <w:b/>
              </w:rPr>
              <w:fldChar w:fldCharType="end"/>
            </w:r>
          </w:p>
        </w:tc>
      </w:tr>
      <w:tr w:rsidR="005A0701" w:rsidRPr="0017105E" w:rsidTr="00D83075">
        <w:tc>
          <w:tcPr>
            <w:tcW w:w="1882" w:type="dxa"/>
            <w:shd w:val="clear" w:color="auto" w:fill="00B0F0"/>
          </w:tcPr>
          <w:p w:rsidR="005A0701" w:rsidRPr="0017105E" w:rsidRDefault="005A0701" w:rsidP="00D83075">
            <w:pPr>
              <w:rPr>
                <w:rFonts w:ascii="Gill Sans MT" w:hAnsi="Gill Sans MT"/>
                <w:b/>
              </w:rPr>
            </w:pPr>
            <w:r w:rsidRPr="0017105E">
              <w:rPr>
                <w:rFonts w:ascii="Gill Sans MT" w:hAnsi="Gill Sans MT"/>
                <w:b/>
              </w:rPr>
              <w:t>Trusts and Foundations</w:t>
            </w:r>
          </w:p>
        </w:tc>
        <w:tc>
          <w:tcPr>
            <w:tcW w:w="1810" w:type="dxa"/>
          </w:tcPr>
          <w:p w:rsidR="005A0701" w:rsidRPr="0017105E" w:rsidRDefault="005A0701" w:rsidP="00D83075">
            <w:pPr>
              <w:rPr>
                <w:rFonts w:ascii="Gill Sans MT" w:hAnsi="Gill Sans MT"/>
              </w:rPr>
            </w:pPr>
            <w:r w:rsidRPr="0017105E">
              <w:rPr>
                <w:rFonts w:ascii="Gill Sans MT" w:hAnsi="Gill Sans MT"/>
              </w:rPr>
              <w:t>£</w:t>
            </w:r>
            <w:r>
              <w:rPr>
                <w:rFonts w:ascii="Gill Sans MT" w:hAnsi="Gill Sans MT"/>
              </w:rPr>
              <w:t>80,000</w:t>
            </w:r>
          </w:p>
        </w:tc>
        <w:tc>
          <w:tcPr>
            <w:tcW w:w="1810" w:type="dxa"/>
          </w:tcPr>
          <w:p w:rsidR="005A0701" w:rsidRPr="0017105E" w:rsidRDefault="005A0701" w:rsidP="00D83075">
            <w:pPr>
              <w:rPr>
                <w:rFonts w:ascii="Gill Sans MT" w:hAnsi="Gill Sans MT"/>
              </w:rPr>
            </w:pPr>
            <w:r>
              <w:rPr>
                <w:rFonts w:ascii="Gill Sans MT" w:hAnsi="Gill Sans MT"/>
              </w:rPr>
              <w:t>£120,000</w:t>
            </w:r>
          </w:p>
        </w:tc>
        <w:tc>
          <w:tcPr>
            <w:tcW w:w="1704" w:type="dxa"/>
            <w:shd w:val="clear" w:color="auto" w:fill="auto"/>
          </w:tcPr>
          <w:p w:rsidR="005A0701" w:rsidRPr="004F120A" w:rsidRDefault="005A0701" w:rsidP="00D83075">
            <w:pPr>
              <w:rPr>
                <w:rFonts w:ascii="Gill Sans MT" w:hAnsi="Gill Sans MT"/>
              </w:rPr>
            </w:pPr>
            <w:r>
              <w:rPr>
                <w:rFonts w:ascii="Gill Sans MT" w:hAnsi="Gill Sans MT"/>
              </w:rPr>
              <w:t>£180,000</w:t>
            </w:r>
          </w:p>
        </w:tc>
        <w:tc>
          <w:tcPr>
            <w:tcW w:w="1704" w:type="dxa"/>
            <w:shd w:val="clear" w:color="auto" w:fill="00B0F0"/>
          </w:tcPr>
          <w:p w:rsidR="005A0701" w:rsidRPr="0017105E"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=SUM(LEFT) </w:instrText>
            </w:r>
            <w:r>
              <w:rPr>
                <w:rFonts w:ascii="Gill Sans MT" w:hAnsi="Gill Sans MT"/>
                <w:b/>
              </w:rPr>
              <w:fldChar w:fldCharType="separate"/>
            </w:r>
            <w:r>
              <w:rPr>
                <w:rFonts w:ascii="Gill Sans MT" w:hAnsi="Gill Sans MT"/>
                <w:b/>
                <w:noProof/>
              </w:rPr>
              <w:t>£380,000.00</w:t>
            </w:r>
            <w:r>
              <w:rPr>
                <w:rFonts w:ascii="Gill Sans MT" w:hAnsi="Gill Sans MT"/>
                <w:b/>
              </w:rPr>
              <w:fldChar w:fldCharType="end"/>
            </w:r>
          </w:p>
        </w:tc>
      </w:tr>
      <w:tr w:rsidR="005A0701" w:rsidRPr="0017105E" w:rsidTr="00D83075">
        <w:tc>
          <w:tcPr>
            <w:tcW w:w="1882" w:type="dxa"/>
            <w:shd w:val="clear" w:color="auto" w:fill="00B0F0"/>
          </w:tcPr>
          <w:p w:rsidR="005A0701" w:rsidRPr="0017105E" w:rsidRDefault="005A0701" w:rsidP="00D83075">
            <w:pPr>
              <w:rPr>
                <w:rFonts w:ascii="Gill Sans MT" w:hAnsi="Gill Sans MT"/>
                <w:b/>
              </w:rPr>
            </w:pPr>
            <w:r>
              <w:rPr>
                <w:rFonts w:ascii="Gill Sans MT" w:hAnsi="Gill Sans MT"/>
                <w:b/>
              </w:rPr>
              <w:t>Statutory</w:t>
            </w:r>
          </w:p>
        </w:tc>
        <w:tc>
          <w:tcPr>
            <w:tcW w:w="1810" w:type="dxa"/>
          </w:tcPr>
          <w:p w:rsidR="005A0701" w:rsidRPr="0017105E" w:rsidRDefault="005A0701" w:rsidP="00D83075">
            <w:pPr>
              <w:rPr>
                <w:rFonts w:ascii="Gill Sans MT" w:hAnsi="Gill Sans MT"/>
              </w:rPr>
            </w:pPr>
            <w:r w:rsidRPr="0017105E">
              <w:rPr>
                <w:rFonts w:ascii="Gill Sans MT" w:hAnsi="Gill Sans MT"/>
              </w:rPr>
              <w:t>£</w:t>
            </w:r>
            <w:r>
              <w:rPr>
                <w:rFonts w:ascii="Gill Sans MT" w:hAnsi="Gill Sans MT"/>
              </w:rPr>
              <w:t>0</w:t>
            </w:r>
          </w:p>
        </w:tc>
        <w:tc>
          <w:tcPr>
            <w:tcW w:w="1810" w:type="dxa"/>
          </w:tcPr>
          <w:p w:rsidR="005A0701" w:rsidRPr="0017105E" w:rsidRDefault="005A0701" w:rsidP="00D83075">
            <w:pPr>
              <w:rPr>
                <w:rFonts w:ascii="Gill Sans MT" w:hAnsi="Gill Sans MT"/>
              </w:rPr>
            </w:pPr>
            <w:r>
              <w:rPr>
                <w:rFonts w:ascii="Gill Sans MT" w:hAnsi="Gill Sans MT"/>
              </w:rPr>
              <w:t>£25,000</w:t>
            </w:r>
          </w:p>
        </w:tc>
        <w:tc>
          <w:tcPr>
            <w:tcW w:w="1704" w:type="dxa"/>
            <w:shd w:val="clear" w:color="auto" w:fill="auto"/>
          </w:tcPr>
          <w:p w:rsidR="005A0701" w:rsidRPr="004F120A" w:rsidRDefault="005A0701" w:rsidP="00D83075">
            <w:pPr>
              <w:rPr>
                <w:rFonts w:ascii="Gill Sans MT" w:hAnsi="Gill Sans MT"/>
              </w:rPr>
            </w:pPr>
            <w:r>
              <w:rPr>
                <w:rFonts w:ascii="Gill Sans MT" w:hAnsi="Gill Sans MT"/>
              </w:rPr>
              <w:t>£50,000</w:t>
            </w:r>
          </w:p>
        </w:tc>
        <w:tc>
          <w:tcPr>
            <w:tcW w:w="1704" w:type="dxa"/>
            <w:shd w:val="clear" w:color="auto" w:fill="00B0F0"/>
          </w:tcPr>
          <w:p w:rsidR="005A0701" w:rsidRPr="0017105E"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=SUM(LEFT) </w:instrText>
            </w:r>
            <w:r>
              <w:rPr>
                <w:rFonts w:ascii="Gill Sans MT" w:hAnsi="Gill Sans MT"/>
                <w:b/>
              </w:rPr>
              <w:fldChar w:fldCharType="separate"/>
            </w:r>
            <w:r>
              <w:rPr>
                <w:rFonts w:ascii="Gill Sans MT" w:hAnsi="Gill Sans MT"/>
                <w:b/>
                <w:noProof/>
              </w:rPr>
              <w:t>£75,000.00</w:t>
            </w:r>
            <w:r>
              <w:rPr>
                <w:rFonts w:ascii="Gill Sans MT" w:hAnsi="Gill Sans MT"/>
                <w:b/>
              </w:rPr>
              <w:fldChar w:fldCharType="end"/>
            </w:r>
          </w:p>
        </w:tc>
      </w:tr>
      <w:tr w:rsidR="005A0701" w:rsidRPr="0017105E" w:rsidTr="00D83075">
        <w:tc>
          <w:tcPr>
            <w:tcW w:w="1882" w:type="dxa"/>
            <w:shd w:val="clear" w:color="auto" w:fill="00B0F0"/>
          </w:tcPr>
          <w:p w:rsidR="005A0701" w:rsidRPr="0017105E" w:rsidRDefault="005A0701" w:rsidP="00D83075">
            <w:pPr>
              <w:rPr>
                <w:rFonts w:ascii="Gill Sans MT" w:hAnsi="Gill Sans MT"/>
                <w:b/>
              </w:rPr>
            </w:pPr>
            <w:r w:rsidRPr="0017105E">
              <w:rPr>
                <w:rFonts w:ascii="Gill Sans MT" w:hAnsi="Gill Sans MT"/>
                <w:b/>
              </w:rPr>
              <w:t>Total</w:t>
            </w:r>
          </w:p>
        </w:tc>
        <w:tc>
          <w:tcPr>
            <w:tcW w:w="1810" w:type="dxa"/>
            <w:shd w:val="clear" w:color="auto" w:fill="00B0F0"/>
          </w:tcPr>
          <w:p w:rsidR="005A0701" w:rsidRPr="0017105E"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=SUM(ABOVE) </w:instrText>
            </w:r>
            <w:r>
              <w:rPr>
                <w:rFonts w:ascii="Gill Sans MT" w:hAnsi="Gill Sans MT"/>
                <w:b/>
              </w:rPr>
              <w:fldChar w:fldCharType="separate"/>
            </w:r>
            <w:r>
              <w:rPr>
                <w:rFonts w:ascii="Gill Sans MT" w:hAnsi="Gill Sans MT"/>
                <w:b/>
                <w:noProof/>
              </w:rPr>
              <w:t>£127,500.00</w:t>
            </w:r>
            <w:r>
              <w:rPr>
                <w:rFonts w:ascii="Gill Sans MT" w:hAnsi="Gill Sans MT"/>
                <w:b/>
              </w:rPr>
              <w:fldChar w:fldCharType="end"/>
            </w:r>
          </w:p>
        </w:tc>
        <w:tc>
          <w:tcPr>
            <w:tcW w:w="1810" w:type="dxa"/>
            <w:shd w:val="clear" w:color="auto" w:fill="00B0F0"/>
          </w:tcPr>
          <w:p w:rsidR="005A0701" w:rsidRPr="0017105E"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=SUM(ABOVE) </w:instrText>
            </w:r>
            <w:r>
              <w:rPr>
                <w:rFonts w:ascii="Gill Sans MT" w:hAnsi="Gill Sans MT"/>
                <w:b/>
              </w:rPr>
              <w:fldChar w:fldCharType="separate"/>
            </w:r>
            <w:r>
              <w:rPr>
                <w:rFonts w:ascii="Gill Sans MT" w:hAnsi="Gill Sans MT"/>
                <w:b/>
                <w:noProof/>
              </w:rPr>
              <w:t>£222,000.00</w:t>
            </w:r>
            <w:r>
              <w:rPr>
                <w:rFonts w:ascii="Gill Sans MT" w:hAnsi="Gill Sans MT"/>
                <w:b/>
              </w:rPr>
              <w:fldChar w:fldCharType="end"/>
            </w:r>
          </w:p>
        </w:tc>
        <w:tc>
          <w:tcPr>
            <w:tcW w:w="1704" w:type="dxa"/>
            <w:shd w:val="clear" w:color="auto" w:fill="00B0F0"/>
          </w:tcPr>
          <w:p w:rsidR="005A0701"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=SUM(ABOVE) </w:instrText>
            </w:r>
            <w:r>
              <w:rPr>
                <w:rFonts w:ascii="Gill Sans MT" w:hAnsi="Gill Sans MT"/>
                <w:b/>
              </w:rPr>
              <w:fldChar w:fldCharType="separate"/>
            </w:r>
            <w:r>
              <w:rPr>
                <w:rFonts w:ascii="Gill Sans MT" w:hAnsi="Gill Sans MT"/>
                <w:b/>
                <w:noProof/>
              </w:rPr>
              <w:t>£349,000.00</w:t>
            </w:r>
            <w:r>
              <w:rPr>
                <w:rFonts w:ascii="Gill Sans MT" w:hAnsi="Gill Sans MT"/>
                <w:b/>
              </w:rPr>
              <w:fldChar w:fldCharType="end"/>
            </w:r>
          </w:p>
        </w:tc>
        <w:tc>
          <w:tcPr>
            <w:tcW w:w="1704" w:type="dxa"/>
            <w:shd w:val="clear" w:color="auto" w:fill="00B0F0"/>
          </w:tcPr>
          <w:p w:rsidR="005A0701" w:rsidRPr="0017105E" w:rsidRDefault="005A0701" w:rsidP="00D83075">
            <w:pPr>
              <w:rPr>
                <w:rFonts w:ascii="Gill Sans MT" w:hAnsi="Gill Sans MT"/>
                <w:b/>
              </w:rPr>
            </w:pPr>
            <w:r>
              <w:rPr>
                <w:rFonts w:ascii="Gill Sans MT" w:hAnsi="Gill Sans MT"/>
                <w:b/>
              </w:rPr>
              <w:fldChar w:fldCharType="begin"/>
            </w:r>
            <w:r>
              <w:rPr>
                <w:rFonts w:ascii="Gill Sans MT" w:hAnsi="Gill Sans MT"/>
                <w:b/>
              </w:rPr>
              <w:instrText xml:space="preserve"> =SUM(LEFT) </w:instrText>
            </w:r>
            <w:r>
              <w:rPr>
                <w:rFonts w:ascii="Gill Sans MT" w:hAnsi="Gill Sans MT"/>
                <w:b/>
              </w:rPr>
              <w:fldChar w:fldCharType="separate"/>
            </w:r>
            <w:r>
              <w:rPr>
                <w:rFonts w:ascii="Gill Sans MT" w:hAnsi="Gill Sans MT"/>
                <w:b/>
                <w:noProof/>
              </w:rPr>
              <w:t>£698,500.00</w:t>
            </w:r>
            <w:r>
              <w:rPr>
                <w:rFonts w:ascii="Gill Sans MT" w:hAnsi="Gill Sans MT"/>
                <w:b/>
              </w:rPr>
              <w:fldChar w:fldCharType="end"/>
            </w:r>
          </w:p>
        </w:tc>
      </w:tr>
    </w:tbl>
    <w:p w:rsidR="005A0701" w:rsidRPr="008455F0" w:rsidRDefault="005A0701" w:rsidP="005A0701">
      <w:pPr>
        <w:rPr>
          <w:rFonts w:ascii="Gill Sans MT" w:hAnsi="Gill Sans MT"/>
        </w:rPr>
      </w:pPr>
      <w:r>
        <w:rPr>
          <w:rFonts w:ascii="Gill Sans MT" w:hAnsi="Gill Sans MT"/>
          <w:b/>
        </w:rPr>
        <w:br w:type="page"/>
      </w:r>
    </w:p>
    <w:p w:rsidR="00D93846" w:rsidRDefault="005A0701" w:rsidP="00D93846">
      <w:pPr>
        <w:pStyle w:val="Heading2"/>
        <w:rPr>
          <w:rFonts w:ascii="Gill Sans MT" w:hAnsi="Gill Sans MT"/>
          <w:b/>
          <w:sz w:val="24"/>
          <w:szCs w:val="24"/>
        </w:rPr>
      </w:pPr>
      <w:bookmarkStart w:id="10" w:name="_Toc41610212"/>
      <w:r w:rsidRPr="00990D97">
        <w:rPr>
          <w:rFonts w:ascii="Gill Sans MT" w:hAnsi="Gill Sans MT"/>
          <w:b/>
          <w:sz w:val="24"/>
          <w:szCs w:val="24"/>
        </w:rPr>
        <w:lastRenderedPageBreak/>
        <w:t>Monitoring and Evaluation</w:t>
      </w:r>
      <w:bookmarkEnd w:id="10"/>
    </w:p>
    <w:p w:rsidR="00D93846" w:rsidRPr="00D93846" w:rsidRDefault="00D93846" w:rsidP="00D93846">
      <w:pPr>
        <w:rPr>
          <w:sz w:val="10"/>
          <w:szCs w:val="10"/>
        </w:rPr>
      </w:pPr>
    </w:p>
    <w:p w:rsidR="00D93846" w:rsidRDefault="00D93846" w:rsidP="005A0701">
      <w:pPr>
        <w:pStyle w:val="ListParagraph"/>
        <w:numPr>
          <w:ilvl w:val="0"/>
          <w:numId w:val="4"/>
        </w:numPr>
        <w:rPr>
          <w:rFonts w:ascii="Gill Sans MT" w:hAnsi="Gill Sans MT"/>
        </w:rPr>
      </w:pPr>
      <w:r>
        <w:rPr>
          <w:rFonts w:ascii="Gill Sans MT" w:hAnsi="Gill Sans MT"/>
        </w:rPr>
        <w:t>The OSS Fundraising Committee set the targets and oversees the delivery of the strategy with meetings every two months</w:t>
      </w:r>
    </w:p>
    <w:p w:rsidR="00D93846" w:rsidRDefault="00D93846" w:rsidP="005A0701">
      <w:pPr>
        <w:pStyle w:val="ListParagraph"/>
        <w:numPr>
          <w:ilvl w:val="0"/>
          <w:numId w:val="4"/>
        </w:numPr>
        <w:rPr>
          <w:rFonts w:ascii="Gill Sans MT" w:hAnsi="Gill Sans MT"/>
        </w:rPr>
      </w:pPr>
      <w:r>
        <w:rPr>
          <w:rFonts w:ascii="Gill Sans MT" w:hAnsi="Gill Sans MT"/>
        </w:rPr>
        <w:t>The Director and/or Programme Officer report to the Fundraising Committee on progress and the Director reports directly to the Executive Committee and Board</w:t>
      </w:r>
    </w:p>
    <w:p w:rsidR="005A0701" w:rsidRDefault="005A0701" w:rsidP="005A0701">
      <w:pPr>
        <w:pStyle w:val="ListParagraph"/>
        <w:numPr>
          <w:ilvl w:val="0"/>
          <w:numId w:val="4"/>
        </w:numPr>
        <w:rPr>
          <w:rFonts w:ascii="Gill Sans MT" w:hAnsi="Gill Sans MT"/>
        </w:rPr>
      </w:pPr>
      <w:r w:rsidRPr="00BE30C1">
        <w:rPr>
          <w:rFonts w:ascii="Gill Sans MT" w:hAnsi="Gill Sans MT"/>
        </w:rPr>
        <w:t xml:space="preserve">Action plans for each </w:t>
      </w:r>
      <w:r w:rsidR="00D93846">
        <w:rPr>
          <w:rFonts w:ascii="Gill Sans MT" w:hAnsi="Gill Sans MT"/>
        </w:rPr>
        <w:t>aspect</w:t>
      </w:r>
      <w:r w:rsidRPr="00BE30C1">
        <w:rPr>
          <w:rFonts w:ascii="Gill Sans MT" w:hAnsi="Gill Sans MT"/>
        </w:rPr>
        <w:t xml:space="preserve"> of the </w:t>
      </w:r>
      <w:r w:rsidR="00D93846">
        <w:rPr>
          <w:rFonts w:ascii="Gill Sans MT" w:hAnsi="Gill Sans MT"/>
        </w:rPr>
        <w:t>Fundraising and Stewardship</w:t>
      </w:r>
      <w:r w:rsidRPr="00BE30C1">
        <w:rPr>
          <w:rFonts w:ascii="Gill Sans MT" w:hAnsi="Gill Sans MT"/>
        </w:rPr>
        <w:t xml:space="preserve"> </w:t>
      </w:r>
      <w:r w:rsidR="00D93846">
        <w:rPr>
          <w:rFonts w:ascii="Gill Sans MT" w:hAnsi="Gill Sans MT"/>
        </w:rPr>
        <w:t>is being</w:t>
      </w:r>
      <w:r w:rsidRPr="00BE30C1">
        <w:rPr>
          <w:rFonts w:ascii="Gill Sans MT" w:hAnsi="Gill Sans MT"/>
        </w:rPr>
        <w:t xml:space="preserve"> drawn up on a six-monthly basis. </w:t>
      </w:r>
    </w:p>
    <w:p w:rsidR="005A0701" w:rsidRPr="00BE30C1" w:rsidRDefault="005A0701" w:rsidP="005A0701">
      <w:pPr>
        <w:pStyle w:val="ListParagraph"/>
        <w:numPr>
          <w:ilvl w:val="0"/>
          <w:numId w:val="4"/>
        </w:numPr>
        <w:rPr>
          <w:rFonts w:ascii="Gill Sans MT" w:hAnsi="Gill Sans MT"/>
        </w:rPr>
      </w:pPr>
      <w:r w:rsidRPr="00BE30C1">
        <w:rPr>
          <w:rFonts w:ascii="Gill Sans MT" w:hAnsi="Gill Sans MT"/>
        </w:rPr>
        <w:t>OSS should agree the overarching review milestones and KPIs (i.e. progress against target, overall income, increase in donors, increase in number of donations, increase in number of repeat donations). The fundraiser should provide monthly reports on progress against targets from the overall strategy and subsequent action plans to be presented to the Board. Budgets should be monitored by and reported on by the relevant Trustees.</w:t>
      </w:r>
    </w:p>
    <w:p w:rsidR="005A0701" w:rsidRPr="00BE30C1" w:rsidRDefault="005A0701" w:rsidP="005A0701">
      <w:pPr>
        <w:rPr>
          <w:rFonts w:ascii="Gill Sans MT" w:hAnsi="Gill Sans MT"/>
        </w:rPr>
      </w:pPr>
      <w:r w:rsidRPr="00BE30C1">
        <w:rPr>
          <w:rFonts w:ascii="Gill Sans MT" w:hAnsi="Gill Sans MT"/>
        </w:rPr>
        <w:t>Key outcomes for fundraising between 20</w:t>
      </w:r>
      <w:r w:rsidR="00D93846">
        <w:rPr>
          <w:rFonts w:ascii="Gill Sans MT" w:hAnsi="Gill Sans MT"/>
        </w:rPr>
        <w:t>20</w:t>
      </w:r>
      <w:r w:rsidRPr="00BE30C1">
        <w:rPr>
          <w:rFonts w:ascii="Gill Sans MT" w:hAnsi="Gill Sans MT"/>
        </w:rPr>
        <w:t>-202</w:t>
      </w:r>
      <w:r w:rsidR="00D93846">
        <w:rPr>
          <w:rFonts w:ascii="Gill Sans MT" w:hAnsi="Gill Sans MT"/>
        </w:rPr>
        <w:t>3</w:t>
      </w:r>
      <w:r w:rsidRPr="00BE30C1">
        <w:rPr>
          <w:rFonts w:ascii="Gill Sans MT" w:hAnsi="Gill Sans MT"/>
        </w:rPr>
        <w:t xml:space="preserve"> have been identified as:</w:t>
      </w:r>
    </w:p>
    <w:p w:rsidR="00D93846" w:rsidRPr="00E34E90" w:rsidRDefault="005A0701" w:rsidP="00E34E90">
      <w:pPr>
        <w:pStyle w:val="ListParagraph"/>
        <w:numPr>
          <w:ilvl w:val="0"/>
          <w:numId w:val="5"/>
        </w:numPr>
        <w:rPr>
          <w:rFonts w:ascii="Gill Sans MT" w:hAnsi="Gill Sans MT"/>
        </w:rPr>
      </w:pPr>
      <w:r w:rsidRPr="00BE30C1">
        <w:rPr>
          <w:rFonts w:ascii="Gill Sans MT" w:hAnsi="Gill Sans MT"/>
        </w:rPr>
        <w:t xml:space="preserve">New stewardship, </w:t>
      </w:r>
      <w:r w:rsidR="00D93846">
        <w:rPr>
          <w:rFonts w:ascii="Gill Sans MT" w:hAnsi="Gill Sans MT"/>
        </w:rPr>
        <w:t xml:space="preserve">individual, </w:t>
      </w:r>
      <w:r w:rsidRPr="00BE30C1">
        <w:rPr>
          <w:rFonts w:ascii="Gill Sans MT" w:hAnsi="Gill Sans MT"/>
        </w:rPr>
        <w:t>corporate</w:t>
      </w:r>
      <w:r w:rsidR="00D93846">
        <w:rPr>
          <w:rFonts w:ascii="Gill Sans MT" w:hAnsi="Gill Sans MT"/>
        </w:rPr>
        <w:t xml:space="preserve">, trust and foundation, </w:t>
      </w:r>
      <w:r w:rsidRPr="00BE30C1">
        <w:rPr>
          <w:rFonts w:ascii="Gill Sans MT" w:hAnsi="Gill Sans MT"/>
        </w:rPr>
        <w:t>and major donor programmes developed with a funding target of £700,000 that will take OSS’ total generated income from 2016-202</w:t>
      </w:r>
      <w:r w:rsidR="00D93846">
        <w:rPr>
          <w:rFonts w:ascii="Gill Sans MT" w:hAnsi="Gill Sans MT"/>
        </w:rPr>
        <w:t>3</w:t>
      </w:r>
      <w:r w:rsidRPr="00BE30C1">
        <w:rPr>
          <w:rFonts w:ascii="Gill Sans MT" w:hAnsi="Gill Sans MT"/>
        </w:rPr>
        <w:t xml:space="preserve"> to over £1 million</w:t>
      </w:r>
    </w:p>
    <w:p w:rsidR="005A0701" w:rsidRDefault="005A0701" w:rsidP="005A0701">
      <w:pPr>
        <w:pStyle w:val="ListParagraph"/>
        <w:numPr>
          <w:ilvl w:val="0"/>
          <w:numId w:val="5"/>
        </w:numPr>
        <w:rPr>
          <w:rFonts w:ascii="Gill Sans MT" w:hAnsi="Gill Sans MT"/>
        </w:rPr>
      </w:pPr>
      <w:r w:rsidRPr="00BE30C1">
        <w:rPr>
          <w:rFonts w:ascii="Gill Sans MT" w:hAnsi="Gill Sans MT"/>
        </w:rPr>
        <w:t>High</w:t>
      </w:r>
      <w:r w:rsidR="00E34E90">
        <w:rPr>
          <w:rFonts w:ascii="Gill Sans MT" w:hAnsi="Gill Sans MT"/>
        </w:rPr>
        <w:t>-</w:t>
      </w:r>
      <w:r w:rsidRPr="00BE30C1">
        <w:rPr>
          <w:rFonts w:ascii="Gill Sans MT" w:hAnsi="Gill Sans MT"/>
        </w:rPr>
        <w:t xml:space="preserve">quality, robust and costed ‘Case for Support’ papers </w:t>
      </w:r>
      <w:r w:rsidR="00E34E90">
        <w:rPr>
          <w:rFonts w:ascii="Gill Sans MT" w:hAnsi="Gill Sans MT"/>
        </w:rPr>
        <w:t xml:space="preserve">to be </w:t>
      </w:r>
      <w:r w:rsidRPr="00BE30C1">
        <w:rPr>
          <w:rFonts w:ascii="Gill Sans MT" w:hAnsi="Gill Sans MT"/>
        </w:rPr>
        <w:t>produced for all projects</w:t>
      </w:r>
    </w:p>
    <w:p w:rsidR="005A0701" w:rsidRPr="00BE30C1" w:rsidRDefault="005A0701" w:rsidP="005A0701">
      <w:pPr>
        <w:pStyle w:val="ListParagraph"/>
        <w:numPr>
          <w:ilvl w:val="0"/>
          <w:numId w:val="5"/>
        </w:numPr>
        <w:rPr>
          <w:rFonts w:ascii="Gill Sans MT" w:hAnsi="Gill Sans MT"/>
        </w:rPr>
      </w:pPr>
      <w:r w:rsidRPr="00BE30C1">
        <w:rPr>
          <w:rFonts w:ascii="Gill Sans MT" w:hAnsi="Gill Sans MT"/>
        </w:rPr>
        <w:t>New income streams created through providing research and analysis services to a range of public and private partners, without conflicting independent status and through more diversified philanthropic income streams.</w:t>
      </w:r>
    </w:p>
    <w:p w:rsidR="005A0701" w:rsidRPr="00BE30C1" w:rsidRDefault="005A0701" w:rsidP="005A0701">
      <w:pPr>
        <w:rPr>
          <w:rFonts w:ascii="Gill Sans MT" w:hAnsi="Gill Sans MT"/>
        </w:rPr>
      </w:pPr>
      <w:r w:rsidRPr="00BE30C1">
        <w:rPr>
          <w:rFonts w:ascii="Gill Sans MT" w:hAnsi="Gill Sans MT"/>
        </w:rPr>
        <w:t>Fundraising is pivotal to the strategic objective to ensure the OSS is a well-financed, sustainable organisation with diverse sources of funding. The objectives for fundraising to deliver this are:</w:t>
      </w:r>
    </w:p>
    <w:p w:rsidR="005A0701" w:rsidRDefault="005A0701" w:rsidP="005A0701">
      <w:pPr>
        <w:pStyle w:val="ListParagraph"/>
        <w:numPr>
          <w:ilvl w:val="0"/>
          <w:numId w:val="6"/>
        </w:numPr>
        <w:rPr>
          <w:rFonts w:ascii="Gill Sans MT" w:hAnsi="Gill Sans MT"/>
        </w:rPr>
      </w:pPr>
      <w:r w:rsidRPr="00BE30C1">
        <w:rPr>
          <w:rFonts w:ascii="Gill Sans MT" w:hAnsi="Gill Sans MT"/>
        </w:rPr>
        <w:t>Develop a fundraising strategy, with realistic and effective KPIs, fully understood and agreed by Board</w:t>
      </w:r>
      <w:r w:rsidR="00E34E90">
        <w:rPr>
          <w:rFonts w:ascii="Gill Sans MT" w:hAnsi="Gill Sans MT"/>
        </w:rPr>
        <w:t>;</w:t>
      </w:r>
    </w:p>
    <w:p w:rsidR="005A0701" w:rsidRDefault="005A0701" w:rsidP="005A0701">
      <w:pPr>
        <w:pStyle w:val="ListParagraph"/>
        <w:numPr>
          <w:ilvl w:val="0"/>
          <w:numId w:val="6"/>
        </w:numPr>
        <w:rPr>
          <w:rFonts w:ascii="Gill Sans MT" w:hAnsi="Gill Sans MT"/>
        </w:rPr>
      </w:pPr>
      <w:r w:rsidRPr="00BE30C1">
        <w:rPr>
          <w:rFonts w:ascii="Gill Sans MT" w:hAnsi="Gill Sans MT"/>
        </w:rPr>
        <w:t>Engage and utilise expertise in Fundraising Group and Business Advisory in developing fundraising strategy and direction</w:t>
      </w:r>
      <w:r w:rsidR="00E34E90">
        <w:rPr>
          <w:rFonts w:ascii="Gill Sans MT" w:hAnsi="Gill Sans MT"/>
        </w:rPr>
        <w:t>;</w:t>
      </w:r>
    </w:p>
    <w:p w:rsidR="005A0701" w:rsidRDefault="005A0701" w:rsidP="005A0701">
      <w:pPr>
        <w:pStyle w:val="ListParagraph"/>
        <w:numPr>
          <w:ilvl w:val="0"/>
          <w:numId w:val="6"/>
        </w:numPr>
        <w:rPr>
          <w:rFonts w:ascii="Gill Sans MT" w:hAnsi="Gill Sans MT"/>
        </w:rPr>
      </w:pPr>
      <w:r w:rsidRPr="00BE30C1">
        <w:rPr>
          <w:rFonts w:ascii="Gill Sans MT" w:hAnsi="Gill Sans MT"/>
        </w:rPr>
        <w:t>Identify key sources of funding across philanthropists, trusts and foundations, and corporate business</w:t>
      </w:r>
      <w:r w:rsidR="00E34E90">
        <w:rPr>
          <w:rFonts w:ascii="Gill Sans MT" w:hAnsi="Gill Sans MT"/>
        </w:rPr>
        <w:t>;</w:t>
      </w:r>
    </w:p>
    <w:p w:rsidR="005A0701" w:rsidRDefault="005A0701" w:rsidP="005A0701">
      <w:pPr>
        <w:pStyle w:val="ListParagraph"/>
        <w:numPr>
          <w:ilvl w:val="0"/>
          <w:numId w:val="6"/>
        </w:numPr>
        <w:rPr>
          <w:rFonts w:ascii="Gill Sans MT" w:hAnsi="Gill Sans MT"/>
        </w:rPr>
      </w:pPr>
      <w:r w:rsidRPr="00BE30C1">
        <w:rPr>
          <w:rFonts w:ascii="Gill Sans MT" w:hAnsi="Gill Sans MT"/>
        </w:rPr>
        <w:t xml:space="preserve">Support the </w:t>
      </w:r>
      <w:r w:rsidR="00E34E90">
        <w:rPr>
          <w:rFonts w:ascii="Gill Sans MT" w:hAnsi="Gill Sans MT"/>
        </w:rPr>
        <w:t>Executive</w:t>
      </w:r>
      <w:r w:rsidRPr="00BE30C1">
        <w:rPr>
          <w:rFonts w:ascii="Gill Sans MT" w:hAnsi="Gill Sans MT"/>
        </w:rPr>
        <w:t xml:space="preserve"> Director </w:t>
      </w:r>
      <w:r w:rsidR="00E34E90">
        <w:rPr>
          <w:rFonts w:ascii="Gill Sans MT" w:hAnsi="Gill Sans MT"/>
        </w:rPr>
        <w:t xml:space="preserve">and Programme Officer </w:t>
      </w:r>
      <w:r w:rsidRPr="00BE30C1">
        <w:rPr>
          <w:rFonts w:ascii="Gill Sans MT" w:hAnsi="Gill Sans MT"/>
        </w:rPr>
        <w:t>in developing the role</w:t>
      </w:r>
      <w:r w:rsidR="00E34E90">
        <w:rPr>
          <w:rFonts w:ascii="Gill Sans MT" w:hAnsi="Gill Sans MT"/>
        </w:rPr>
        <w:t>;</w:t>
      </w:r>
    </w:p>
    <w:p w:rsidR="00E34E90" w:rsidRDefault="00E34E90" w:rsidP="005A0701">
      <w:pPr>
        <w:pStyle w:val="ListParagraph"/>
        <w:numPr>
          <w:ilvl w:val="0"/>
          <w:numId w:val="6"/>
        </w:numPr>
        <w:rPr>
          <w:rFonts w:ascii="Gill Sans MT" w:hAnsi="Gill Sans MT"/>
        </w:rPr>
      </w:pPr>
      <w:r w:rsidRPr="00BE30C1">
        <w:rPr>
          <w:rFonts w:ascii="Gill Sans MT" w:hAnsi="Gill Sans MT"/>
        </w:rPr>
        <w:t xml:space="preserve">Appoint a fundraising officer/director to </w:t>
      </w:r>
      <w:r>
        <w:rPr>
          <w:rFonts w:ascii="Gill Sans MT" w:hAnsi="Gill Sans MT"/>
        </w:rPr>
        <w:t>manage and deliver on</w:t>
      </w:r>
      <w:r w:rsidRPr="00BE30C1">
        <w:rPr>
          <w:rFonts w:ascii="Gill Sans MT" w:hAnsi="Gill Sans MT"/>
        </w:rPr>
        <w:t xml:space="preserve"> fundraising strategy</w:t>
      </w:r>
      <w:r>
        <w:rPr>
          <w:rFonts w:ascii="Gill Sans MT" w:hAnsi="Gill Sans MT"/>
        </w:rPr>
        <w:t>;</w:t>
      </w:r>
    </w:p>
    <w:p w:rsidR="005A0701" w:rsidRPr="00E34E90" w:rsidRDefault="005A0701" w:rsidP="005A0701">
      <w:pPr>
        <w:pStyle w:val="ListParagraph"/>
        <w:numPr>
          <w:ilvl w:val="0"/>
          <w:numId w:val="6"/>
        </w:numPr>
        <w:rPr>
          <w:rFonts w:ascii="Gill Sans MT" w:hAnsi="Gill Sans MT"/>
        </w:rPr>
      </w:pPr>
      <w:r w:rsidRPr="00E34E90">
        <w:rPr>
          <w:rFonts w:ascii="Gill Sans MT" w:hAnsi="Gill Sans MT"/>
        </w:rPr>
        <w:t>Hold a minimum of four fundraising events per annum, with a geographical balance.</w:t>
      </w:r>
    </w:p>
    <w:p w:rsidR="005A0701" w:rsidRPr="005A0701" w:rsidRDefault="005A0701" w:rsidP="005A0701"/>
    <w:p w:rsidR="00034511" w:rsidRDefault="00034511" w:rsidP="00034511">
      <w:pPr>
        <w:pStyle w:val="ListParagraph"/>
      </w:pPr>
    </w:p>
    <w:p w:rsidR="00034511" w:rsidRDefault="00034511" w:rsidP="00034511">
      <w:pPr>
        <w:pStyle w:val="ListParagraph"/>
      </w:pPr>
    </w:p>
    <w:p w:rsidR="00034511" w:rsidRDefault="00034511" w:rsidP="00034511">
      <w:pPr>
        <w:pStyle w:val="ListParagraph"/>
      </w:pPr>
    </w:p>
    <w:p w:rsidR="00034511" w:rsidRDefault="00034511" w:rsidP="00034511">
      <w:pPr>
        <w:pStyle w:val="ListParagraph"/>
      </w:pPr>
    </w:p>
    <w:p w:rsidR="00034511" w:rsidRPr="00990D97" w:rsidRDefault="00034511" w:rsidP="00034511">
      <w:pPr>
        <w:pStyle w:val="Heading2"/>
        <w:rPr>
          <w:rFonts w:ascii="Gill Sans MT" w:hAnsi="Gill Sans MT"/>
          <w:b/>
          <w:sz w:val="24"/>
          <w:szCs w:val="24"/>
        </w:rPr>
      </w:pPr>
      <w:bookmarkStart w:id="11" w:name="_Toc41610213"/>
      <w:r w:rsidRPr="00990D97">
        <w:rPr>
          <w:rFonts w:ascii="Gill Sans MT" w:hAnsi="Gill Sans MT"/>
          <w:b/>
          <w:sz w:val="24"/>
          <w:szCs w:val="24"/>
        </w:rPr>
        <w:lastRenderedPageBreak/>
        <w:t xml:space="preserve">Appendix </w:t>
      </w:r>
      <w:r>
        <w:rPr>
          <w:rFonts w:ascii="Gill Sans MT" w:hAnsi="Gill Sans MT"/>
          <w:b/>
          <w:sz w:val="24"/>
          <w:szCs w:val="24"/>
        </w:rPr>
        <w:t>One</w:t>
      </w:r>
      <w:r w:rsidRPr="00990D97">
        <w:rPr>
          <w:rFonts w:ascii="Gill Sans MT" w:hAnsi="Gill Sans MT"/>
          <w:b/>
          <w:sz w:val="24"/>
          <w:szCs w:val="24"/>
        </w:rPr>
        <w:t xml:space="preserve"> – </w:t>
      </w:r>
      <w:r>
        <w:rPr>
          <w:rFonts w:ascii="Gill Sans MT" w:hAnsi="Gill Sans MT"/>
          <w:b/>
          <w:sz w:val="24"/>
          <w:szCs w:val="24"/>
        </w:rPr>
        <w:t>Stewardship Protocols</w:t>
      </w:r>
      <w:bookmarkEnd w:id="11"/>
    </w:p>
    <w:p w:rsidR="00034511" w:rsidRPr="00034511" w:rsidRDefault="00034511" w:rsidP="00034511">
      <w:pPr>
        <w:pStyle w:val="ListParagraph"/>
        <w:jc w:val="center"/>
        <w:rPr>
          <w:b/>
          <w:bCs/>
          <w:sz w:val="20"/>
          <w:szCs w:val="20"/>
          <w:u w:val="single"/>
        </w:rPr>
      </w:pPr>
    </w:p>
    <w:tbl>
      <w:tblPr>
        <w:tblStyle w:val="GridTable4-Accent5"/>
        <w:tblW w:w="13960" w:type="dxa"/>
        <w:tblLook w:val="04A0" w:firstRow="1" w:lastRow="0" w:firstColumn="1" w:lastColumn="0" w:noHBand="0" w:noVBand="1"/>
      </w:tblPr>
      <w:tblGrid>
        <w:gridCol w:w="3634"/>
        <w:gridCol w:w="3954"/>
        <w:gridCol w:w="3233"/>
        <w:gridCol w:w="3139"/>
      </w:tblGrid>
      <w:tr w:rsidR="00034511" w:rsidTr="00D83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0" w:type="dxa"/>
            <w:gridSpan w:val="4"/>
          </w:tcPr>
          <w:p w:rsidR="00034511" w:rsidRPr="00865B72" w:rsidRDefault="00034511" w:rsidP="00D83075">
            <w:pPr>
              <w:jc w:val="center"/>
              <w:rPr>
                <w:b w:val="0"/>
                <w:bCs w:val="0"/>
                <w:sz w:val="16"/>
                <w:szCs w:val="16"/>
              </w:rPr>
            </w:pPr>
          </w:p>
          <w:p w:rsidR="00034511" w:rsidRPr="00497AE9" w:rsidRDefault="00034511" w:rsidP="00D83075">
            <w:pPr>
              <w:jc w:val="center"/>
              <w:rPr>
                <w:b w:val="0"/>
                <w:bCs w:val="0"/>
                <w:sz w:val="32"/>
                <w:szCs w:val="32"/>
              </w:rPr>
            </w:pPr>
            <w:r>
              <w:rPr>
                <w:sz w:val="32"/>
                <w:szCs w:val="32"/>
              </w:rPr>
              <w:t>STEWARDSHIP PROTOCOLS</w:t>
            </w:r>
          </w:p>
          <w:p w:rsidR="00034511" w:rsidRDefault="00034511" w:rsidP="00D83075">
            <w:pPr>
              <w:rPr>
                <w:b w:val="0"/>
                <w:bCs w:val="0"/>
              </w:rPr>
            </w:pPr>
          </w:p>
        </w:tc>
      </w:tr>
      <w:tr w:rsidR="00034511" w:rsidRPr="00E27CAB" w:rsidTr="00D8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rsidR="00034511" w:rsidRPr="00F1313E" w:rsidRDefault="00034511" w:rsidP="00D83075">
            <w:r w:rsidRPr="00F1313E">
              <w:t>Type of Donor</w:t>
            </w:r>
          </w:p>
          <w:p w:rsidR="00034511" w:rsidRPr="00E27CAB" w:rsidRDefault="00034511" w:rsidP="00D83075">
            <w:pPr>
              <w:rPr>
                <w:b w:val="0"/>
                <w:bCs w:val="0"/>
              </w:rPr>
            </w:pPr>
          </w:p>
        </w:tc>
        <w:tc>
          <w:tcPr>
            <w:tcW w:w="3954" w:type="dxa"/>
          </w:tcPr>
          <w:p w:rsidR="00034511" w:rsidRPr="00E27CAB" w:rsidRDefault="00034511" w:rsidP="00D83075">
            <w:pPr>
              <w:cnfStyle w:val="000000100000" w:firstRow="0" w:lastRow="0" w:firstColumn="0" w:lastColumn="0" w:oddVBand="0" w:evenVBand="0" w:oddHBand="1" w:evenHBand="0" w:firstRowFirstColumn="0" w:firstRowLastColumn="0" w:lastRowFirstColumn="0" w:lastRowLastColumn="0"/>
              <w:rPr>
                <w:b/>
                <w:bCs/>
              </w:rPr>
            </w:pPr>
            <w:r>
              <w:rPr>
                <w:b/>
                <w:bCs/>
              </w:rPr>
              <w:t>Communication</w:t>
            </w:r>
          </w:p>
        </w:tc>
        <w:tc>
          <w:tcPr>
            <w:tcW w:w="3233" w:type="dxa"/>
          </w:tcPr>
          <w:p w:rsidR="00034511" w:rsidRPr="00E27CAB" w:rsidRDefault="00034511" w:rsidP="00D83075">
            <w:pPr>
              <w:cnfStyle w:val="000000100000" w:firstRow="0" w:lastRow="0" w:firstColumn="0" w:lastColumn="0" w:oddVBand="0" w:evenVBand="0" w:oddHBand="1" w:evenHBand="0" w:firstRowFirstColumn="0" w:firstRowLastColumn="0" w:lastRowFirstColumn="0" w:lastRowLastColumn="0"/>
              <w:rPr>
                <w:b/>
                <w:bCs/>
              </w:rPr>
            </w:pPr>
            <w:r>
              <w:rPr>
                <w:b/>
                <w:bCs/>
              </w:rPr>
              <w:t>Communication</w:t>
            </w:r>
          </w:p>
        </w:tc>
        <w:tc>
          <w:tcPr>
            <w:tcW w:w="3139" w:type="dxa"/>
          </w:tcPr>
          <w:p w:rsidR="00034511" w:rsidRPr="00E27CAB" w:rsidRDefault="00034511" w:rsidP="00D83075">
            <w:pPr>
              <w:cnfStyle w:val="000000100000" w:firstRow="0" w:lastRow="0" w:firstColumn="0" w:lastColumn="0" w:oddVBand="0" w:evenVBand="0" w:oddHBand="1" w:evenHBand="0" w:firstRowFirstColumn="0" w:firstRowLastColumn="0" w:lastRowFirstColumn="0" w:lastRowLastColumn="0"/>
              <w:rPr>
                <w:b/>
                <w:bCs/>
              </w:rPr>
            </w:pPr>
            <w:r>
              <w:rPr>
                <w:b/>
                <w:bCs/>
              </w:rPr>
              <w:t>OSS Staff Input</w:t>
            </w:r>
          </w:p>
        </w:tc>
      </w:tr>
      <w:tr w:rsidR="00034511" w:rsidTr="00D83075">
        <w:tc>
          <w:tcPr>
            <w:cnfStyle w:val="001000000000" w:firstRow="0" w:lastRow="0" w:firstColumn="1" w:lastColumn="0" w:oddVBand="0" w:evenVBand="0" w:oddHBand="0" w:evenHBand="0" w:firstRowFirstColumn="0" w:firstRowLastColumn="0" w:lastRowFirstColumn="0" w:lastRowLastColumn="0"/>
            <w:tcW w:w="3634" w:type="dxa"/>
          </w:tcPr>
          <w:p w:rsidR="00034511" w:rsidRPr="00616A39" w:rsidRDefault="00034511" w:rsidP="00D83075">
            <w:r w:rsidRPr="00616A39">
              <w:t>Founding Funder</w:t>
            </w:r>
          </w:p>
          <w:p w:rsidR="00034511" w:rsidRPr="00616A39" w:rsidRDefault="00034511" w:rsidP="00D83075"/>
        </w:tc>
        <w:tc>
          <w:tcPr>
            <w:tcW w:w="3954" w:type="dxa"/>
          </w:tcPr>
          <w:p w:rsidR="00034511" w:rsidRDefault="00034511" w:rsidP="00D83075">
            <w:pPr>
              <w:cnfStyle w:val="000000000000" w:firstRow="0" w:lastRow="0" w:firstColumn="0" w:lastColumn="0" w:oddVBand="0" w:evenVBand="0" w:oddHBand="0" w:evenHBand="0" w:firstRowFirstColumn="0" w:firstRowLastColumn="0" w:lastRowFirstColumn="0" w:lastRowLastColumn="0"/>
            </w:pPr>
            <w:r>
              <w:t>Newsletter &amp; personal email</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Personal letter (posted)</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Advance notice of research with personal note from researcher</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Event invitations - donor webinar</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p>
        </w:tc>
        <w:tc>
          <w:tcPr>
            <w:tcW w:w="3233" w:type="dxa"/>
          </w:tcPr>
          <w:p w:rsidR="00034511" w:rsidRDefault="00034511" w:rsidP="00D83075">
            <w:pPr>
              <w:cnfStyle w:val="000000000000" w:firstRow="0" w:lastRow="0" w:firstColumn="0" w:lastColumn="0" w:oddVBand="0" w:evenVBand="0" w:oddHBand="0" w:evenHBand="0" w:firstRowFirstColumn="0" w:firstRowLastColumn="0" w:lastRowFirstColumn="0" w:lastRowLastColumn="0"/>
            </w:pPr>
            <w:r>
              <w:t>Monthly</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Annual</w:t>
            </w:r>
          </w:p>
        </w:tc>
        <w:tc>
          <w:tcPr>
            <w:tcW w:w="3139" w:type="dxa"/>
          </w:tcPr>
          <w:p w:rsidR="00034511" w:rsidRDefault="00034511" w:rsidP="00D83075">
            <w:pPr>
              <w:cnfStyle w:val="000000000000" w:firstRow="0" w:lastRow="0" w:firstColumn="0" w:lastColumn="0" w:oddVBand="0" w:evenVBand="0" w:oddHBand="0" w:evenHBand="0" w:firstRowFirstColumn="0" w:firstRowLastColumn="0" w:lastRowFirstColumn="0" w:lastRowLastColumn="0"/>
            </w:pPr>
            <w:r>
              <w:t>Newsletter &amp; email</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Steward</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Research updates</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Event invitations</w:t>
            </w:r>
          </w:p>
        </w:tc>
      </w:tr>
      <w:tr w:rsidR="00034511" w:rsidTr="00D8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rsidR="00034511" w:rsidRPr="00616A39" w:rsidRDefault="00034511" w:rsidP="00D83075">
            <w:r w:rsidRPr="00616A39">
              <w:t>Renewal Donor</w:t>
            </w:r>
          </w:p>
        </w:tc>
        <w:tc>
          <w:tcPr>
            <w:tcW w:w="3954"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Newsletter &amp; personal email</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Personal letter (posted)</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Advance notice of research</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Event invitations - donor webinar</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p>
        </w:tc>
        <w:tc>
          <w:tcPr>
            <w:tcW w:w="3233"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Monthly</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Annual</w:t>
            </w:r>
          </w:p>
        </w:tc>
        <w:tc>
          <w:tcPr>
            <w:tcW w:w="3139"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Newsletter &amp; email</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Steward</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Research updates</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Event invitations</w:t>
            </w:r>
          </w:p>
        </w:tc>
      </w:tr>
      <w:tr w:rsidR="00034511" w:rsidTr="00D83075">
        <w:tc>
          <w:tcPr>
            <w:cnfStyle w:val="001000000000" w:firstRow="0" w:lastRow="0" w:firstColumn="1" w:lastColumn="0" w:oddVBand="0" w:evenVBand="0" w:oddHBand="0" w:evenHBand="0" w:firstRowFirstColumn="0" w:firstRowLastColumn="0" w:lastRowFirstColumn="0" w:lastRowLastColumn="0"/>
            <w:tcW w:w="3634" w:type="dxa"/>
          </w:tcPr>
          <w:p w:rsidR="00034511" w:rsidRPr="00616A39" w:rsidRDefault="00034511" w:rsidP="00D83075">
            <w:r w:rsidRPr="00616A39">
              <w:t>Corporate Donors</w:t>
            </w:r>
          </w:p>
        </w:tc>
        <w:tc>
          <w:tcPr>
            <w:tcW w:w="3954" w:type="dxa"/>
          </w:tcPr>
          <w:p w:rsidR="00034511" w:rsidRDefault="00034511" w:rsidP="00D83075">
            <w:pPr>
              <w:cnfStyle w:val="000000000000" w:firstRow="0" w:lastRow="0" w:firstColumn="0" w:lastColumn="0" w:oddVBand="0" w:evenVBand="0" w:oddHBand="0" w:evenHBand="0" w:firstRowFirstColumn="0" w:firstRowLastColumn="0" w:lastRowFirstColumn="0" w:lastRowLastColumn="0"/>
            </w:pPr>
            <w:r>
              <w:t>Newsletter &amp; personal email</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Personal letter (posted)</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lastRenderedPageBreak/>
              <w:t>Advance notice of research with personal note from researcher</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Event invitations - donor webinar</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p>
        </w:tc>
        <w:tc>
          <w:tcPr>
            <w:tcW w:w="3233" w:type="dxa"/>
          </w:tcPr>
          <w:p w:rsidR="00034511" w:rsidRDefault="00034511" w:rsidP="00D83075">
            <w:pPr>
              <w:cnfStyle w:val="000000000000" w:firstRow="0" w:lastRow="0" w:firstColumn="0" w:lastColumn="0" w:oddVBand="0" w:evenVBand="0" w:oddHBand="0" w:evenHBand="0" w:firstRowFirstColumn="0" w:firstRowLastColumn="0" w:lastRowFirstColumn="0" w:lastRowLastColumn="0"/>
            </w:pPr>
            <w:r>
              <w:lastRenderedPageBreak/>
              <w:t>Monthly</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Annual</w:t>
            </w:r>
          </w:p>
        </w:tc>
        <w:tc>
          <w:tcPr>
            <w:tcW w:w="3139" w:type="dxa"/>
          </w:tcPr>
          <w:p w:rsidR="00034511" w:rsidRDefault="00034511" w:rsidP="00D83075">
            <w:pPr>
              <w:cnfStyle w:val="000000000000" w:firstRow="0" w:lastRow="0" w:firstColumn="0" w:lastColumn="0" w:oddVBand="0" w:evenVBand="0" w:oddHBand="0" w:evenHBand="0" w:firstRowFirstColumn="0" w:firstRowLastColumn="0" w:lastRowFirstColumn="0" w:lastRowLastColumn="0"/>
            </w:pPr>
            <w:r>
              <w:t>Newsletter &amp; email</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Steward</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lastRenderedPageBreak/>
              <w:t>Research updates</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Event invitations</w:t>
            </w:r>
          </w:p>
        </w:tc>
      </w:tr>
      <w:tr w:rsidR="00034511" w:rsidTr="00D8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rsidR="00034511" w:rsidRPr="00616A39" w:rsidRDefault="00034511" w:rsidP="00D83075">
            <w:r w:rsidRPr="00616A39">
              <w:lastRenderedPageBreak/>
              <w:t>Trusts &amp; Foundations</w:t>
            </w:r>
          </w:p>
        </w:tc>
        <w:tc>
          <w:tcPr>
            <w:tcW w:w="3954"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Newsletter &amp; personal email</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Personal letter (posted)</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Research updates</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p>
        </w:tc>
        <w:tc>
          <w:tcPr>
            <w:tcW w:w="3233"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Monthly</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Annual</w:t>
            </w:r>
          </w:p>
        </w:tc>
        <w:tc>
          <w:tcPr>
            <w:tcW w:w="3139"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Newsletter &amp; email</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Steward</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Research updates</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Event invitations</w:t>
            </w:r>
          </w:p>
        </w:tc>
      </w:tr>
    </w:tbl>
    <w:p w:rsidR="00034511" w:rsidRDefault="00034511" w:rsidP="00034511">
      <w:pPr>
        <w:pStyle w:val="ListParagraph"/>
      </w:pPr>
    </w:p>
    <w:tbl>
      <w:tblPr>
        <w:tblStyle w:val="GridTable4-Accent5"/>
        <w:tblW w:w="13960" w:type="dxa"/>
        <w:tblLook w:val="04A0" w:firstRow="1" w:lastRow="0" w:firstColumn="1" w:lastColumn="0" w:noHBand="0" w:noVBand="1"/>
      </w:tblPr>
      <w:tblGrid>
        <w:gridCol w:w="3634"/>
        <w:gridCol w:w="3879"/>
        <w:gridCol w:w="3308"/>
        <w:gridCol w:w="3139"/>
      </w:tblGrid>
      <w:tr w:rsidR="00034511" w:rsidTr="00D83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rsidR="00034511" w:rsidRDefault="00034511" w:rsidP="00D83075">
            <w:pPr>
              <w:rPr>
                <w:b w:val="0"/>
                <w:bCs w:val="0"/>
              </w:rPr>
            </w:pPr>
            <w:r w:rsidRPr="00616A39">
              <w:t>Indivi</w:t>
            </w:r>
            <w:r>
              <w:t>d</w:t>
            </w:r>
            <w:r w:rsidRPr="00616A39">
              <w:t>ual Supporters</w:t>
            </w:r>
          </w:p>
          <w:p w:rsidR="00034511" w:rsidRPr="00616A39" w:rsidRDefault="00034511" w:rsidP="00D83075"/>
        </w:tc>
        <w:tc>
          <w:tcPr>
            <w:tcW w:w="3879" w:type="dxa"/>
          </w:tcPr>
          <w:p w:rsidR="00034511" w:rsidRDefault="00034511" w:rsidP="00D83075">
            <w:pPr>
              <w:cnfStyle w:val="100000000000" w:firstRow="1" w:lastRow="0" w:firstColumn="0" w:lastColumn="0" w:oddVBand="0" w:evenVBand="0" w:oddHBand="0" w:evenHBand="0" w:firstRowFirstColumn="0" w:firstRowLastColumn="0" w:lastRowFirstColumn="0" w:lastRowLastColumn="0"/>
            </w:pPr>
          </w:p>
        </w:tc>
        <w:tc>
          <w:tcPr>
            <w:tcW w:w="3308" w:type="dxa"/>
          </w:tcPr>
          <w:p w:rsidR="00034511" w:rsidRDefault="00034511" w:rsidP="00D83075">
            <w:pPr>
              <w:cnfStyle w:val="100000000000" w:firstRow="1" w:lastRow="0" w:firstColumn="0" w:lastColumn="0" w:oddVBand="0" w:evenVBand="0" w:oddHBand="0" w:evenHBand="0" w:firstRowFirstColumn="0" w:firstRowLastColumn="0" w:lastRowFirstColumn="0" w:lastRowLastColumn="0"/>
            </w:pPr>
          </w:p>
        </w:tc>
        <w:tc>
          <w:tcPr>
            <w:tcW w:w="3139" w:type="dxa"/>
          </w:tcPr>
          <w:p w:rsidR="00034511" w:rsidRDefault="00034511" w:rsidP="00D83075">
            <w:pPr>
              <w:cnfStyle w:val="100000000000" w:firstRow="1" w:lastRow="0" w:firstColumn="0" w:lastColumn="0" w:oddVBand="0" w:evenVBand="0" w:oddHBand="0" w:evenHBand="0" w:firstRowFirstColumn="0" w:firstRowLastColumn="0" w:lastRowFirstColumn="0" w:lastRowLastColumn="0"/>
            </w:pPr>
          </w:p>
        </w:tc>
      </w:tr>
      <w:tr w:rsidR="00034511" w:rsidTr="00D83075">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3634" w:type="dxa"/>
          </w:tcPr>
          <w:p w:rsidR="00034511" w:rsidRPr="002579FA" w:rsidRDefault="00034511" w:rsidP="00D83075">
            <w:pPr>
              <w:rPr>
                <w:b w:val="0"/>
                <w:bCs w:val="0"/>
              </w:rPr>
            </w:pPr>
            <w:r>
              <w:t>GOLD</w:t>
            </w:r>
          </w:p>
        </w:tc>
        <w:tc>
          <w:tcPr>
            <w:tcW w:w="3879"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Newsletter &amp; personal email</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Personal letter (posted)</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Advance notice of research – with personal note from researcher</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Event invitations - donor webinar</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p>
        </w:tc>
        <w:tc>
          <w:tcPr>
            <w:tcW w:w="3308"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Monthly</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Annual</w:t>
            </w:r>
          </w:p>
        </w:tc>
        <w:tc>
          <w:tcPr>
            <w:tcW w:w="3139"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Newsletter &amp; email</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Steward</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Research updates</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Event invitations</w:t>
            </w:r>
          </w:p>
        </w:tc>
      </w:tr>
      <w:tr w:rsidR="00034511" w:rsidTr="00D83075">
        <w:trPr>
          <w:trHeight w:val="1485"/>
        </w:trPr>
        <w:tc>
          <w:tcPr>
            <w:cnfStyle w:val="001000000000" w:firstRow="0" w:lastRow="0" w:firstColumn="1" w:lastColumn="0" w:oddVBand="0" w:evenVBand="0" w:oddHBand="0" w:evenHBand="0" w:firstRowFirstColumn="0" w:firstRowLastColumn="0" w:lastRowFirstColumn="0" w:lastRowLastColumn="0"/>
            <w:tcW w:w="3634" w:type="dxa"/>
          </w:tcPr>
          <w:p w:rsidR="00034511" w:rsidRDefault="00034511" w:rsidP="00D83075">
            <w:r>
              <w:t>SILVER</w:t>
            </w:r>
          </w:p>
        </w:tc>
        <w:tc>
          <w:tcPr>
            <w:tcW w:w="3879" w:type="dxa"/>
          </w:tcPr>
          <w:p w:rsidR="00034511" w:rsidRDefault="00034511" w:rsidP="00D83075">
            <w:pPr>
              <w:cnfStyle w:val="000000000000" w:firstRow="0" w:lastRow="0" w:firstColumn="0" w:lastColumn="0" w:oddVBand="0" w:evenVBand="0" w:oddHBand="0" w:evenHBand="0" w:firstRowFirstColumn="0" w:firstRowLastColumn="0" w:lastRowFirstColumn="0" w:lastRowLastColumn="0"/>
            </w:pPr>
            <w:r>
              <w:t>Newsletter &amp; personal email</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Personal letter (posted)</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Advance notice of research</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lastRenderedPageBreak/>
              <w:t>Event invitations - donor webinar</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p>
        </w:tc>
        <w:tc>
          <w:tcPr>
            <w:tcW w:w="3308" w:type="dxa"/>
          </w:tcPr>
          <w:p w:rsidR="00034511" w:rsidRDefault="00034511" w:rsidP="00D83075">
            <w:pPr>
              <w:cnfStyle w:val="000000000000" w:firstRow="0" w:lastRow="0" w:firstColumn="0" w:lastColumn="0" w:oddVBand="0" w:evenVBand="0" w:oddHBand="0" w:evenHBand="0" w:firstRowFirstColumn="0" w:firstRowLastColumn="0" w:lastRowFirstColumn="0" w:lastRowLastColumn="0"/>
            </w:pPr>
            <w:r>
              <w:lastRenderedPageBreak/>
              <w:t>Monthly</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Annual</w:t>
            </w:r>
          </w:p>
        </w:tc>
        <w:tc>
          <w:tcPr>
            <w:tcW w:w="3139" w:type="dxa"/>
          </w:tcPr>
          <w:p w:rsidR="00034511" w:rsidRDefault="00034511" w:rsidP="00D83075">
            <w:pPr>
              <w:cnfStyle w:val="000000000000" w:firstRow="0" w:lastRow="0" w:firstColumn="0" w:lastColumn="0" w:oddVBand="0" w:evenVBand="0" w:oddHBand="0" w:evenHBand="0" w:firstRowFirstColumn="0" w:firstRowLastColumn="0" w:lastRowFirstColumn="0" w:lastRowLastColumn="0"/>
            </w:pPr>
            <w:r>
              <w:t>Newsletter &amp; email</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Steward</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t>Research updates</w:t>
            </w:r>
          </w:p>
          <w:p w:rsidR="00034511" w:rsidRDefault="00034511" w:rsidP="00D83075">
            <w:pPr>
              <w:cnfStyle w:val="000000000000" w:firstRow="0" w:lastRow="0" w:firstColumn="0" w:lastColumn="0" w:oddVBand="0" w:evenVBand="0" w:oddHBand="0" w:evenHBand="0" w:firstRowFirstColumn="0" w:firstRowLastColumn="0" w:lastRowFirstColumn="0" w:lastRowLastColumn="0"/>
            </w:pPr>
            <w:r>
              <w:lastRenderedPageBreak/>
              <w:t>Event invitations</w:t>
            </w:r>
          </w:p>
        </w:tc>
      </w:tr>
      <w:tr w:rsidR="00034511" w:rsidTr="00D83075">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3634" w:type="dxa"/>
          </w:tcPr>
          <w:p w:rsidR="00034511" w:rsidRDefault="00034511" w:rsidP="00D83075">
            <w:r>
              <w:lastRenderedPageBreak/>
              <w:t>BRONZE</w:t>
            </w:r>
          </w:p>
        </w:tc>
        <w:tc>
          <w:tcPr>
            <w:tcW w:w="3879"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Newsletter &amp; personal email</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Personal letter (posted)</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Research updates</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Event invitations - donor webinar</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p>
        </w:tc>
        <w:tc>
          <w:tcPr>
            <w:tcW w:w="3308"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Monthly</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Annual</w:t>
            </w:r>
          </w:p>
        </w:tc>
        <w:tc>
          <w:tcPr>
            <w:tcW w:w="3139" w:type="dxa"/>
          </w:tcPr>
          <w:p w:rsidR="00034511" w:rsidRDefault="00034511" w:rsidP="00D83075">
            <w:pPr>
              <w:cnfStyle w:val="000000100000" w:firstRow="0" w:lastRow="0" w:firstColumn="0" w:lastColumn="0" w:oddVBand="0" w:evenVBand="0" w:oddHBand="1" w:evenHBand="0" w:firstRowFirstColumn="0" w:firstRowLastColumn="0" w:lastRowFirstColumn="0" w:lastRowLastColumn="0"/>
            </w:pPr>
            <w:r>
              <w:t>Newsletter &amp; email</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Steward</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Research updates</w:t>
            </w:r>
          </w:p>
          <w:p w:rsidR="00034511" w:rsidRDefault="00034511" w:rsidP="00D83075">
            <w:pPr>
              <w:cnfStyle w:val="000000100000" w:firstRow="0" w:lastRow="0" w:firstColumn="0" w:lastColumn="0" w:oddVBand="0" w:evenVBand="0" w:oddHBand="1" w:evenHBand="0" w:firstRowFirstColumn="0" w:firstRowLastColumn="0" w:lastRowFirstColumn="0" w:lastRowLastColumn="0"/>
            </w:pPr>
            <w:r>
              <w:t>Event invitations</w:t>
            </w:r>
          </w:p>
        </w:tc>
      </w:tr>
    </w:tbl>
    <w:p w:rsidR="00034511" w:rsidRDefault="00034511" w:rsidP="00034511">
      <w:pPr>
        <w:pStyle w:val="ListParagraph"/>
        <w:jc w:val="center"/>
        <w:rPr>
          <w:b/>
          <w:bCs/>
          <w:sz w:val="40"/>
          <w:szCs w:val="40"/>
          <w:u w:val="single"/>
        </w:rPr>
      </w:pPr>
    </w:p>
    <w:p w:rsidR="00AD1DA3" w:rsidRPr="00990D97" w:rsidRDefault="00AD1DA3" w:rsidP="00AD1DA3">
      <w:pPr>
        <w:pStyle w:val="Heading2"/>
        <w:rPr>
          <w:rFonts w:ascii="Gill Sans MT" w:hAnsi="Gill Sans MT"/>
          <w:b/>
          <w:sz w:val="24"/>
          <w:szCs w:val="24"/>
        </w:rPr>
      </w:pPr>
      <w:bookmarkStart w:id="12" w:name="_Toc41610214"/>
      <w:r w:rsidRPr="00990D97">
        <w:rPr>
          <w:rFonts w:ascii="Gill Sans MT" w:hAnsi="Gill Sans MT"/>
          <w:b/>
          <w:sz w:val="24"/>
          <w:szCs w:val="24"/>
        </w:rPr>
        <w:t xml:space="preserve">Appendix </w:t>
      </w:r>
      <w:r w:rsidR="00034511">
        <w:rPr>
          <w:rFonts w:ascii="Gill Sans MT" w:hAnsi="Gill Sans MT"/>
          <w:b/>
          <w:sz w:val="24"/>
          <w:szCs w:val="24"/>
        </w:rPr>
        <w:t>Two</w:t>
      </w:r>
      <w:r w:rsidRPr="00990D97">
        <w:rPr>
          <w:rFonts w:ascii="Gill Sans MT" w:hAnsi="Gill Sans MT"/>
          <w:b/>
          <w:sz w:val="24"/>
          <w:szCs w:val="24"/>
        </w:rPr>
        <w:t xml:space="preserve"> – Gift Aid</w:t>
      </w:r>
      <w:r>
        <w:rPr>
          <w:rFonts w:ascii="Gill Sans MT" w:hAnsi="Gill Sans MT"/>
          <w:b/>
          <w:sz w:val="24"/>
          <w:szCs w:val="24"/>
        </w:rPr>
        <w:t xml:space="preserve"> and Benefits</w:t>
      </w:r>
      <w:bookmarkEnd w:id="12"/>
    </w:p>
    <w:p w:rsidR="00AD1DA3" w:rsidRPr="0017105E" w:rsidRDefault="00AD1DA3" w:rsidP="00AD1DA3">
      <w:pPr>
        <w:spacing w:after="0" w:line="240" w:lineRule="auto"/>
        <w:rPr>
          <w:rFonts w:ascii="Gill Sans MT" w:hAnsi="Gill Sans MT"/>
          <w:b/>
        </w:rPr>
      </w:pPr>
    </w:p>
    <w:p w:rsidR="00AD1DA3" w:rsidRPr="0017105E" w:rsidRDefault="00816F9A" w:rsidP="00AD1DA3">
      <w:pPr>
        <w:spacing w:after="0" w:line="240" w:lineRule="auto"/>
        <w:rPr>
          <w:rFonts w:ascii="Gill Sans MT" w:hAnsi="Gill Sans MT"/>
        </w:rPr>
      </w:pPr>
      <w:r>
        <w:rPr>
          <w:rFonts w:ascii="Gill Sans MT" w:hAnsi="Gill Sans MT"/>
        </w:rPr>
        <w:t>Partner</w:t>
      </w:r>
      <w:r w:rsidR="00AD1DA3" w:rsidRPr="0017105E">
        <w:rPr>
          <w:rFonts w:ascii="Gill Sans MT" w:hAnsi="Gill Sans MT"/>
        </w:rPr>
        <w:t xml:space="preserve"> and </w:t>
      </w:r>
      <w:r>
        <w:rPr>
          <w:rFonts w:ascii="Gill Sans MT" w:hAnsi="Gill Sans MT"/>
        </w:rPr>
        <w:t>S</w:t>
      </w:r>
      <w:r w:rsidR="00AD1DA3" w:rsidRPr="0017105E">
        <w:rPr>
          <w:rFonts w:ascii="Gill Sans MT" w:hAnsi="Gill Sans MT"/>
        </w:rPr>
        <w:t>upporter packages specify a minimum payment (a ‘minimum donation’) that must be made to secure a package of benefits. The benefits are designed to meet the Gif</w:t>
      </w:r>
      <w:r>
        <w:rPr>
          <w:rFonts w:ascii="Gill Sans MT" w:hAnsi="Gill Sans MT"/>
        </w:rPr>
        <w:t>t</w:t>
      </w:r>
      <w:r w:rsidR="00AD1DA3" w:rsidRPr="0017105E">
        <w:rPr>
          <w:rFonts w:ascii="Gill Sans MT" w:hAnsi="Gill Sans MT"/>
        </w:rPr>
        <w:t xml:space="preserve"> Aid rules in one of two ways:</w:t>
      </w:r>
    </w:p>
    <w:p w:rsidR="00AD1DA3" w:rsidRPr="0017105E" w:rsidRDefault="00AD1DA3" w:rsidP="00AD1DA3">
      <w:pPr>
        <w:pStyle w:val="ListParagraph"/>
        <w:numPr>
          <w:ilvl w:val="0"/>
          <w:numId w:val="1"/>
        </w:numPr>
        <w:spacing w:after="0" w:line="240" w:lineRule="auto"/>
        <w:rPr>
          <w:rFonts w:ascii="Gill Sans MT" w:hAnsi="Gill Sans MT"/>
        </w:rPr>
      </w:pPr>
      <w:r w:rsidRPr="0017105E">
        <w:rPr>
          <w:rFonts w:ascii="Gill Sans MT" w:hAnsi="Gill Sans MT"/>
        </w:rPr>
        <w:t>The total benefit value is within the Gif</w:t>
      </w:r>
      <w:r w:rsidR="00816F9A">
        <w:rPr>
          <w:rFonts w:ascii="Gill Sans MT" w:hAnsi="Gill Sans MT"/>
        </w:rPr>
        <w:t>t</w:t>
      </w:r>
      <w:r w:rsidRPr="0017105E">
        <w:rPr>
          <w:rFonts w:ascii="Gill Sans MT" w:hAnsi="Gill Sans MT"/>
        </w:rPr>
        <w:t xml:space="preserve"> Aid donor benefit limits so the whole minimum payment can be Gif</w:t>
      </w:r>
      <w:r>
        <w:rPr>
          <w:rFonts w:ascii="Gill Sans MT" w:hAnsi="Gill Sans MT"/>
        </w:rPr>
        <w:t>t</w:t>
      </w:r>
      <w:r w:rsidRPr="0017105E">
        <w:rPr>
          <w:rFonts w:ascii="Gill Sans MT" w:hAnsi="Gill Sans MT"/>
        </w:rPr>
        <w:t xml:space="preserve"> Aided</w:t>
      </w:r>
      <w:r w:rsidR="00816F9A">
        <w:rPr>
          <w:rFonts w:ascii="Gill Sans MT" w:hAnsi="Gill Sans MT"/>
        </w:rPr>
        <w:t>; and</w:t>
      </w:r>
    </w:p>
    <w:p w:rsidR="00AD1DA3" w:rsidRPr="0017105E" w:rsidRDefault="00AD1DA3" w:rsidP="00AD1DA3">
      <w:pPr>
        <w:pStyle w:val="ListParagraph"/>
        <w:numPr>
          <w:ilvl w:val="0"/>
          <w:numId w:val="1"/>
        </w:numPr>
        <w:spacing w:after="0" w:line="240" w:lineRule="auto"/>
        <w:rPr>
          <w:rFonts w:ascii="Gill Sans MT" w:hAnsi="Gill Sans MT"/>
        </w:rPr>
      </w:pPr>
      <w:r w:rsidRPr="0017105E">
        <w:rPr>
          <w:rFonts w:ascii="Gill Sans MT" w:hAnsi="Gill Sans MT"/>
        </w:rPr>
        <w:t>The total benefit value is above the Gift Aid donor benefit limits but (as permitted by HMRC) the ‘split payment’ treatment is used. This splits the supporter payment into a part which is a consideration for the benefits (not eligible for Gif</w:t>
      </w:r>
      <w:r w:rsidR="00816F9A">
        <w:rPr>
          <w:rFonts w:ascii="Gill Sans MT" w:hAnsi="Gill Sans MT"/>
        </w:rPr>
        <w:t>t</w:t>
      </w:r>
      <w:r w:rsidRPr="0017105E">
        <w:rPr>
          <w:rFonts w:ascii="Gill Sans MT" w:hAnsi="Gill Sans MT"/>
        </w:rPr>
        <w:t xml:space="preserve"> Aid) and part which is a donation (eligible for Gif</w:t>
      </w:r>
      <w:r w:rsidR="00816F9A">
        <w:rPr>
          <w:rFonts w:ascii="Gill Sans MT" w:hAnsi="Gill Sans MT"/>
        </w:rPr>
        <w:t>t</w:t>
      </w:r>
      <w:r w:rsidRPr="0017105E">
        <w:rPr>
          <w:rFonts w:ascii="Gill Sans MT" w:hAnsi="Gill Sans MT"/>
        </w:rPr>
        <w:t xml:space="preserve"> Aid). To use this treatment</w:t>
      </w:r>
      <w:r>
        <w:rPr>
          <w:rFonts w:ascii="Gill Sans MT" w:hAnsi="Gill Sans MT"/>
        </w:rPr>
        <w:t xml:space="preserve"> HMRC require two conditions be </w:t>
      </w:r>
      <w:r w:rsidRPr="0017105E">
        <w:rPr>
          <w:rFonts w:ascii="Gill Sans MT" w:hAnsi="Gill Sans MT"/>
        </w:rPr>
        <w:t>met:</w:t>
      </w:r>
    </w:p>
    <w:p w:rsidR="00AD1DA3" w:rsidRPr="0017105E" w:rsidRDefault="00AD1DA3" w:rsidP="00AD1DA3">
      <w:pPr>
        <w:pStyle w:val="ListParagraph"/>
        <w:numPr>
          <w:ilvl w:val="1"/>
          <w:numId w:val="1"/>
        </w:numPr>
        <w:spacing w:after="0" w:line="240" w:lineRule="auto"/>
        <w:rPr>
          <w:rFonts w:ascii="Gill Sans MT" w:hAnsi="Gill Sans MT"/>
        </w:rPr>
      </w:pPr>
      <w:r w:rsidRPr="0017105E">
        <w:rPr>
          <w:rFonts w:ascii="Gill Sans MT" w:hAnsi="Gill Sans MT"/>
        </w:rPr>
        <w:t>The benefit must be separately purchasable</w:t>
      </w:r>
      <w:r w:rsidR="00816F9A">
        <w:rPr>
          <w:rFonts w:ascii="Gill Sans MT" w:hAnsi="Gill Sans MT"/>
        </w:rPr>
        <w:t>;</w:t>
      </w:r>
      <w:r w:rsidRPr="0017105E">
        <w:rPr>
          <w:rFonts w:ascii="Gill Sans MT" w:hAnsi="Gill Sans MT"/>
        </w:rPr>
        <w:t xml:space="preserve"> and</w:t>
      </w:r>
    </w:p>
    <w:p w:rsidR="00AD1DA3" w:rsidRPr="0017105E" w:rsidRDefault="00AD1DA3" w:rsidP="00AD1DA3">
      <w:pPr>
        <w:pStyle w:val="ListParagraph"/>
        <w:numPr>
          <w:ilvl w:val="1"/>
          <w:numId w:val="1"/>
        </w:numPr>
        <w:spacing w:after="0" w:line="240" w:lineRule="auto"/>
        <w:rPr>
          <w:rFonts w:ascii="Gill Sans MT" w:hAnsi="Gill Sans MT"/>
        </w:rPr>
      </w:pPr>
      <w:r w:rsidRPr="0017105E">
        <w:rPr>
          <w:rFonts w:ascii="Gill Sans MT" w:hAnsi="Gill Sans MT"/>
        </w:rPr>
        <w:t>The supporter is aware of this at the time of the donation.</w:t>
      </w:r>
    </w:p>
    <w:p w:rsidR="00AD1DA3" w:rsidRPr="0017105E" w:rsidRDefault="00AD1DA3" w:rsidP="00AD1DA3">
      <w:pPr>
        <w:spacing w:after="0" w:line="240" w:lineRule="auto"/>
        <w:rPr>
          <w:rFonts w:ascii="Gill Sans MT" w:hAnsi="Gill Sans MT"/>
        </w:rPr>
      </w:pPr>
      <w:r w:rsidRPr="0017105E">
        <w:rPr>
          <w:rFonts w:ascii="Gill Sans MT" w:hAnsi="Gill Sans MT"/>
        </w:rPr>
        <w:t>For the split payment option, the marketing literature usually states the consideration value and donation value and explains that, if they wish, the supporter can purchase the benefits by paying just the consideration amount and no donation. The hope is</w:t>
      </w:r>
      <w:r w:rsidR="00816F9A">
        <w:rPr>
          <w:rFonts w:ascii="Gill Sans MT" w:hAnsi="Gill Sans MT"/>
        </w:rPr>
        <w:t xml:space="preserve"> </w:t>
      </w:r>
      <w:r w:rsidRPr="0017105E">
        <w:rPr>
          <w:rFonts w:ascii="Gill Sans MT" w:hAnsi="Gill Sans MT"/>
        </w:rPr>
        <w:t>that supporters will pay the full suggested amount anyway.</w:t>
      </w:r>
    </w:p>
    <w:p w:rsidR="00AD1DA3" w:rsidRPr="0017105E" w:rsidRDefault="00AD1DA3" w:rsidP="00AD1DA3">
      <w:pPr>
        <w:spacing w:after="0" w:line="240" w:lineRule="auto"/>
        <w:rPr>
          <w:rFonts w:ascii="Gill Sans MT" w:hAnsi="Gill Sans MT"/>
        </w:rPr>
      </w:pPr>
    </w:p>
    <w:p w:rsidR="00AD1DA3" w:rsidRPr="0017105E" w:rsidRDefault="00AD1DA3" w:rsidP="00AD1DA3">
      <w:pPr>
        <w:spacing w:after="0" w:line="240" w:lineRule="auto"/>
        <w:rPr>
          <w:rFonts w:ascii="Gill Sans MT" w:hAnsi="Gill Sans MT"/>
        </w:rPr>
      </w:pPr>
      <w:r w:rsidRPr="0017105E">
        <w:rPr>
          <w:rFonts w:ascii="Gill Sans MT" w:hAnsi="Gill Sans MT"/>
        </w:rPr>
        <w:t>For VAT, HMRC accept th</w:t>
      </w:r>
      <w:r w:rsidR="00816F9A">
        <w:rPr>
          <w:rFonts w:ascii="Gill Sans MT" w:hAnsi="Gill Sans MT"/>
        </w:rPr>
        <w:t>e</w:t>
      </w:r>
      <w:r w:rsidRPr="0017105E">
        <w:rPr>
          <w:rFonts w:ascii="Gill Sans MT" w:hAnsi="Gill Sans MT"/>
        </w:rPr>
        <w:t xml:space="preserve"> split payment treatment also works for VAT (subject to the same conditions) so any output VAT that may be due is only due on the consideration element and the gift element is outside the scope of VAT.</w:t>
      </w:r>
    </w:p>
    <w:p w:rsidR="00AD1DA3" w:rsidRPr="0017105E" w:rsidRDefault="00AD1DA3" w:rsidP="00AD1DA3">
      <w:pPr>
        <w:spacing w:after="0" w:line="240" w:lineRule="auto"/>
        <w:rPr>
          <w:rFonts w:ascii="Gill Sans MT" w:hAnsi="Gill Sans MT"/>
        </w:rPr>
      </w:pPr>
    </w:p>
    <w:p w:rsidR="00AD1DA3" w:rsidRPr="0017105E" w:rsidRDefault="00AD1DA3" w:rsidP="00AD1DA3">
      <w:pPr>
        <w:spacing w:after="0" w:line="240" w:lineRule="auto"/>
        <w:rPr>
          <w:rFonts w:ascii="Gill Sans MT" w:hAnsi="Gill Sans MT"/>
        </w:rPr>
      </w:pPr>
      <w:r w:rsidRPr="0017105E">
        <w:rPr>
          <w:rFonts w:ascii="Gill Sans MT" w:hAnsi="Gill Sans MT"/>
        </w:rPr>
        <w:lastRenderedPageBreak/>
        <w:t>The problem lies with supporter payments where the whole payment is treated as a gift for Gift Aid (where the benefit value is within the Gif Aid limits). Here there is usually no option to purchase the benefits for less so, on the face of it, as the supporter must pay the specified minimum donation to obtain the benefits, the whole of the minimum donation is a consideration for those benefits and as such, within the scope of VAT. This is what HMRC has successfully argued in recent cases.  To ease understanding of gift aid and VAT in relation to membership and Patron schemes, three test cases and their rulings, with implications in law, are given in later in this appendix.</w:t>
      </w:r>
    </w:p>
    <w:p w:rsidR="00AD1DA3" w:rsidRPr="0017105E" w:rsidRDefault="00AD1DA3" w:rsidP="00AD1DA3">
      <w:pPr>
        <w:spacing w:after="0" w:line="240" w:lineRule="auto"/>
        <w:rPr>
          <w:rFonts w:ascii="Gill Sans MT" w:hAnsi="Gill Sans MT"/>
        </w:rPr>
      </w:pPr>
    </w:p>
    <w:p w:rsidR="00AD1DA3" w:rsidRPr="0017105E" w:rsidRDefault="00AD1DA3" w:rsidP="00AD1DA3">
      <w:pPr>
        <w:spacing w:after="0" w:line="240" w:lineRule="auto"/>
        <w:rPr>
          <w:rFonts w:ascii="Gill Sans MT" w:hAnsi="Gill Sans MT"/>
        </w:rPr>
      </w:pPr>
      <w:r w:rsidRPr="0017105E">
        <w:rPr>
          <w:rFonts w:ascii="Gill Sans MT" w:hAnsi="Gill Sans MT"/>
        </w:rPr>
        <w:t xml:space="preserve">In terms of </w:t>
      </w:r>
      <w:r>
        <w:rPr>
          <w:rFonts w:ascii="Gill Sans MT" w:hAnsi="Gill Sans MT"/>
        </w:rPr>
        <w:t>OSS</w:t>
      </w:r>
      <w:r w:rsidRPr="0017105E">
        <w:rPr>
          <w:rFonts w:ascii="Gill Sans MT" w:hAnsi="Gill Sans MT"/>
        </w:rPr>
        <w:t>, when it comes higher-level giving programmes, to comply with the law as it currently stands and avoid standard-rating the whole minimum donation, they can agree to:</w:t>
      </w:r>
    </w:p>
    <w:p w:rsidR="00AD1DA3" w:rsidRPr="0017105E" w:rsidRDefault="00AD1DA3" w:rsidP="00AD1DA3">
      <w:pPr>
        <w:spacing w:after="0" w:line="240" w:lineRule="auto"/>
        <w:rPr>
          <w:rFonts w:ascii="Gill Sans MT" w:hAnsi="Gill Sans MT"/>
        </w:rPr>
      </w:pPr>
    </w:p>
    <w:p w:rsidR="00AD1DA3" w:rsidRPr="0017105E" w:rsidRDefault="00AD1DA3" w:rsidP="00AD1DA3">
      <w:pPr>
        <w:pStyle w:val="ListParagraph"/>
        <w:numPr>
          <w:ilvl w:val="0"/>
          <w:numId w:val="2"/>
        </w:numPr>
        <w:spacing w:after="0" w:line="240" w:lineRule="auto"/>
        <w:rPr>
          <w:rFonts w:ascii="Gill Sans MT" w:hAnsi="Gill Sans MT"/>
        </w:rPr>
      </w:pPr>
      <w:r w:rsidRPr="0017105E">
        <w:rPr>
          <w:rFonts w:ascii="Gill Sans MT" w:hAnsi="Gill Sans MT"/>
        </w:rPr>
        <w:t>Explicitly adopting the split payment treatment, the problem being this renders a part of the payment ineligible for Gift Aid and it might mean supporters opt to pay for benefits only.</w:t>
      </w:r>
    </w:p>
    <w:p w:rsidR="00AD1DA3" w:rsidRPr="0017105E" w:rsidRDefault="00AD1DA3" w:rsidP="00AD1DA3">
      <w:pPr>
        <w:pStyle w:val="ListParagraph"/>
        <w:numPr>
          <w:ilvl w:val="0"/>
          <w:numId w:val="2"/>
        </w:numPr>
        <w:spacing w:after="0" w:line="240" w:lineRule="auto"/>
        <w:rPr>
          <w:rFonts w:ascii="Gill Sans MT" w:hAnsi="Gill Sans MT"/>
        </w:rPr>
      </w:pPr>
      <w:r w:rsidRPr="0017105E">
        <w:rPr>
          <w:rFonts w:ascii="Gill Sans MT" w:hAnsi="Gill Sans MT"/>
        </w:rPr>
        <w:t>Structure the benefit package so it is a single VAT zero-rated or exempt supply. Making the package a single zero-rated supply would mean limiting benefits to being principally zero-rated items such as printed matter, so this is probably unrealistic. However, the scope for VAT exemption appears more realistic, especially if the supplier is an eligible body for the purposes of the cultural exemption.</w:t>
      </w:r>
    </w:p>
    <w:p w:rsidR="00AD1DA3" w:rsidRPr="0017105E" w:rsidRDefault="00AD1DA3" w:rsidP="00AD1DA3">
      <w:pPr>
        <w:pStyle w:val="ListParagraph"/>
        <w:numPr>
          <w:ilvl w:val="0"/>
          <w:numId w:val="2"/>
        </w:numPr>
        <w:spacing w:after="0" w:line="240" w:lineRule="auto"/>
        <w:rPr>
          <w:rFonts w:ascii="Gill Sans MT" w:hAnsi="Gill Sans MT"/>
        </w:rPr>
      </w:pPr>
      <w:r w:rsidRPr="0017105E">
        <w:rPr>
          <w:rFonts w:ascii="Gill Sans MT" w:hAnsi="Gill Sans MT"/>
        </w:rPr>
        <w:t>Treat the donation as straightforward subscription.  This is easier to administer but renders the whole amount ineligible for gift aid purposes and subject to VAT depending on the range of benefits given in return.</w:t>
      </w:r>
    </w:p>
    <w:p w:rsidR="00AD1DA3" w:rsidRPr="0017105E" w:rsidRDefault="00AD1DA3" w:rsidP="00AD1DA3">
      <w:pPr>
        <w:pStyle w:val="ListParagraph"/>
        <w:spacing w:after="0" w:line="240" w:lineRule="auto"/>
        <w:rPr>
          <w:rFonts w:ascii="Gill Sans MT" w:hAnsi="Gill Sans MT"/>
        </w:rPr>
      </w:pPr>
    </w:p>
    <w:p w:rsidR="00AD1DA3" w:rsidRPr="0017105E" w:rsidRDefault="00AD1DA3" w:rsidP="00AD1DA3">
      <w:pPr>
        <w:spacing w:after="0" w:line="240" w:lineRule="auto"/>
        <w:rPr>
          <w:rFonts w:ascii="Gill Sans MT" w:hAnsi="Gill Sans MT"/>
        </w:rPr>
      </w:pPr>
      <w:r w:rsidRPr="0017105E">
        <w:rPr>
          <w:rFonts w:ascii="Gill Sans MT" w:hAnsi="Gill Sans MT"/>
        </w:rPr>
        <w:t>In terms of the benefit guidance from HMRC, the following applies:</w:t>
      </w:r>
    </w:p>
    <w:p w:rsidR="00AD1DA3" w:rsidRPr="0017105E" w:rsidRDefault="00AD1DA3" w:rsidP="00AD1DA3">
      <w:pPr>
        <w:spacing w:after="0" w:line="240" w:lineRule="auto"/>
        <w:rPr>
          <w:rFonts w:ascii="Gill Sans MT" w:hAnsi="Gill Sans MT"/>
        </w:rPr>
      </w:pPr>
    </w:p>
    <w:p w:rsidR="00AD1DA3" w:rsidRPr="0017105E" w:rsidRDefault="00AD1DA3" w:rsidP="00AD1DA3">
      <w:pPr>
        <w:pStyle w:val="ListParagraph"/>
        <w:numPr>
          <w:ilvl w:val="0"/>
          <w:numId w:val="3"/>
        </w:numPr>
        <w:spacing w:after="0" w:line="240" w:lineRule="auto"/>
        <w:rPr>
          <w:rFonts w:ascii="Gill Sans MT" w:hAnsi="Gill Sans MT"/>
        </w:rPr>
      </w:pPr>
      <w:r w:rsidRPr="0017105E">
        <w:rPr>
          <w:rFonts w:ascii="Gill Sans MT" w:hAnsi="Gill Sans MT"/>
        </w:rPr>
        <w:t>For donations up to £100, the value of the benefit can equate to a total of 25% of the donation;</w:t>
      </w:r>
    </w:p>
    <w:p w:rsidR="00AD1DA3" w:rsidRPr="0017105E" w:rsidRDefault="00AD1DA3" w:rsidP="00AD1DA3">
      <w:pPr>
        <w:pStyle w:val="ListParagraph"/>
        <w:numPr>
          <w:ilvl w:val="0"/>
          <w:numId w:val="3"/>
        </w:numPr>
        <w:spacing w:after="0" w:line="240" w:lineRule="auto"/>
        <w:rPr>
          <w:rFonts w:ascii="Gill Sans MT" w:hAnsi="Gill Sans MT"/>
        </w:rPr>
      </w:pPr>
      <w:r w:rsidRPr="0017105E">
        <w:rPr>
          <w:rFonts w:ascii="Gill Sans MT" w:hAnsi="Gill Sans MT"/>
        </w:rPr>
        <w:t xml:space="preserve">For donations between £100 and £1,000, the value of the benefit is capped at £25; and for donations over £1,000, the value of the benefit can equate to a total of 5% of the donation, up to a maximum benefit value of £2,500.  Printed materials, if they are promoting the charitable objectives of </w:t>
      </w:r>
      <w:r>
        <w:rPr>
          <w:rFonts w:ascii="Gill Sans MT" w:hAnsi="Gill Sans MT"/>
        </w:rPr>
        <w:t>OSS</w:t>
      </w:r>
      <w:r w:rsidRPr="0017105E">
        <w:rPr>
          <w:rFonts w:ascii="Gill Sans MT" w:hAnsi="Gill Sans MT"/>
        </w:rPr>
        <w:t xml:space="preserve"> (such as a newsletter), are not counted as a benefit.</w:t>
      </w:r>
    </w:p>
    <w:p w:rsidR="006A02BC" w:rsidRPr="00AD1DA3" w:rsidRDefault="006A02BC" w:rsidP="00AD1DA3">
      <w:pPr>
        <w:spacing w:after="0" w:line="240" w:lineRule="auto"/>
        <w:rPr>
          <w:rFonts w:ascii="Gill Sans MT" w:hAnsi="Gill Sans MT"/>
        </w:rPr>
      </w:pPr>
    </w:p>
    <w:sectPr w:rsidR="006A02BC" w:rsidRPr="00AD1DA3" w:rsidSect="00034511">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5653" w:rsidRDefault="007A5653">
      <w:pPr>
        <w:spacing w:after="0" w:line="240" w:lineRule="auto"/>
      </w:pPr>
      <w:r>
        <w:separator/>
      </w:r>
    </w:p>
  </w:endnote>
  <w:endnote w:type="continuationSeparator" w:id="0">
    <w:p w:rsidR="007A5653" w:rsidRDefault="007A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075" w:rsidRDefault="00D8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075" w:rsidRPr="00FA16DB" w:rsidRDefault="00D83075">
    <w:pPr>
      <w:pStyle w:val="Footer"/>
      <w:rPr>
        <w:rFonts w:ascii="Gill Sans MT" w:hAnsi="Gill Sans MT"/>
        <w:sz w:val="18"/>
        <w:szCs w:val="18"/>
      </w:rPr>
    </w:pPr>
    <w:r>
      <w:rPr>
        <w:rFonts w:ascii="Gill Sans MT" w:hAnsi="Gill Sans MT"/>
        <w:sz w:val="18"/>
        <w:szCs w:val="18"/>
      </w:rPr>
      <w:t>OSS</w:t>
    </w:r>
    <w:r w:rsidRPr="00FA16DB">
      <w:rPr>
        <w:rFonts w:ascii="Gill Sans MT" w:hAnsi="Gill Sans MT"/>
        <w:sz w:val="18"/>
        <w:szCs w:val="18"/>
      </w:rPr>
      <w:ptab w:relativeTo="margin" w:alignment="center" w:leader="none"/>
    </w:r>
    <w:r w:rsidRPr="00FA16DB">
      <w:rPr>
        <w:rFonts w:ascii="Gill Sans MT" w:hAnsi="Gill Sans MT"/>
        <w:sz w:val="18"/>
        <w:szCs w:val="18"/>
      </w:rPr>
      <w:fldChar w:fldCharType="begin"/>
    </w:r>
    <w:r w:rsidRPr="00FA16DB">
      <w:rPr>
        <w:rFonts w:ascii="Gill Sans MT" w:hAnsi="Gill Sans MT"/>
        <w:sz w:val="18"/>
        <w:szCs w:val="18"/>
      </w:rPr>
      <w:instrText xml:space="preserve"> PAGE   \* MERGEFORMAT </w:instrText>
    </w:r>
    <w:r w:rsidRPr="00FA16DB">
      <w:rPr>
        <w:rFonts w:ascii="Gill Sans MT" w:hAnsi="Gill Sans MT"/>
        <w:sz w:val="18"/>
        <w:szCs w:val="18"/>
      </w:rPr>
      <w:fldChar w:fldCharType="separate"/>
    </w:r>
    <w:r>
      <w:rPr>
        <w:rFonts w:ascii="Gill Sans MT" w:hAnsi="Gill Sans MT"/>
        <w:noProof/>
        <w:sz w:val="18"/>
        <w:szCs w:val="18"/>
      </w:rPr>
      <w:t>17</w:t>
    </w:r>
    <w:r w:rsidRPr="00FA16DB">
      <w:rPr>
        <w:rFonts w:ascii="Gill Sans MT" w:hAnsi="Gill Sans MT"/>
        <w:noProof/>
        <w:sz w:val="18"/>
        <w:szCs w:val="18"/>
      </w:rPr>
      <w:fldChar w:fldCharType="end"/>
    </w:r>
    <w:r w:rsidRPr="00FA16DB">
      <w:rPr>
        <w:rFonts w:ascii="Gill Sans MT" w:hAnsi="Gill Sans MT"/>
        <w:sz w:val="18"/>
        <w:szCs w:val="18"/>
      </w:rPr>
      <w:ptab w:relativeTo="margin" w:alignment="right" w:leader="none"/>
    </w:r>
    <w:r w:rsidRPr="00FA16DB">
      <w:rPr>
        <w:rFonts w:ascii="Gill Sans MT" w:hAnsi="Gill Sans MT"/>
        <w:sz w:val="18"/>
        <w:szCs w:val="18"/>
      </w:rPr>
      <w:t>Fundraising Strategy</w:t>
    </w:r>
  </w:p>
  <w:p w:rsidR="00D83075" w:rsidRPr="00FA16DB" w:rsidRDefault="00D83075">
    <w:pPr>
      <w:pStyle w:val="Footer"/>
      <w:rPr>
        <w:rFonts w:ascii="Gill Sans MT" w:hAnsi="Gill Sans MT"/>
        <w:sz w:val="18"/>
        <w:szCs w:val="18"/>
      </w:rPr>
    </w:pPr>
    <w:r>
      <w:rPr>
        <w:rFonts w:ascii="Gill Sans MT" w:hAnsi="Gill Sans MT"/>
        <w:sz w:val="18"/>
        <w:szCs w:val="18"/>
      </w:rPr>
      <w:t>David Ferguson</w:t>
    </w:r>
    <w:r w:rsidRPr="00FA16DB">
      <w:rPr>
        <w:rFonts w:ascii="Gill Sans MT" w:hAnsi="Gill Sans MT"/>
        <w:sz w:val="18"/>
        <w:szCs w:val="18"/>
      </w:rPr>
      <w:tab/>
    </w:r>
    <w:r w:rsidRPr="00FA16DB">
      <w:rPr>
        <w:rFonts w:ascii="Gill Sans MT" w:hAnsi="Gill Sans MT"/>
        <w:sz w:val="18"/>
        <w:szCs w:val="18"/>
      </w:rPr>
      <w:tab/>
    </w:r>
    <w:r>
      <w:rPr>
        <w:rFonts w:ascii="Gill Sans MT" w:hAnsi="Gill Sans MT"/>
        <w:sz w:val="18"/>
        <w:szCs w:val="18"/>
      </w:rPr>
      <w:t>June</w:t>
    </w:r>
    <w:r w:rsidRPr="00FA16DB">
      <w:rPr>
        <w:rFonts w:ascii="Gill Sans MT" w:hAnsi="Gill Sans MT"/>
        <w:sz w:val="18"/>
        <w:szCs w:val="18"/>
      </w:rPr>
      <w:t xml:space="preserve"> 20</w:t>
    </w:r>
    <w:r>
      <w:rPr>
        <w:rFonts w:ascii="Gill Sans MT" w:hAnsi="Gill Sans MT"/>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075" w:rsidRDefault="00D8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5653" w:rsidRDefault="007A5653">
      <w:pPr>
        <w:spacing w:after="0" w:line="240" w:lineRule="auto"/>
      </w:pPr>
      <w:r>
        <w:separator/>
      </w:r>
    </w:p>
  </w:footnote>
  <w:footnote w:type="continuationSeparator" w:id="0">
    <w:p w:rsidR="007A5653" w:rsidRDefault="007A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075" w:rsidRDefault="00D8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075" w:rsidRDefault="00D83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075" w:rsidRDefault="00D83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7F8"/>
    <w:multiLevelType w:val="hybridMultilevel"/>
    <w:tmpl w:val="8E06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D2168"/>
    <w:multiLevelType w:val="hybridMultilevel"/>
    <w:tmpl w:val="24C0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E25DA"/>
    <w:multiLevelType w:val="hybridMultilevel"/>
    <w:tmpl w:val="A1D85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2662C"/>
    <w:multiLevelType w:val="hybridMultilevel"/>
    <w:tmpl w:val="DBD64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82287"/>
    <w:multiLevelType w:val="hybridMultilevel"/>
    <w:tmpl w:val="7796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D7039"/>
    <w:multiLevelType w:val="hybridMultilevel"/>
    <w:tmpl w:val="1D3E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20681"/>
    <w:multiLevelType w:val="hybridMultilevel"/>
    <w:tmpl w:val="5FDE1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01AED"/>
    <w:multiLevelType w:val="hybridMultilevel"/>
    <w:tmpl w:val="8A5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C19C9"/>
    <w:multiLevelType w:val="hybridMultilevel"/>
    <w:tmpl w:val="B2C84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44723"/>
    <w:multiLevelType w:val="hybridMultilevel"/>
    <w:tmpl w:val="ABAA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63157"/>
    <w:multiLevelType w:val="hybridMultilevel"/>
    <w:tmpl w:val="03D0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F2040"/>
    <w:multiLevelType w:val="hybridMultilevel"/>
    <w:tmpl w:val="0C9E7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753C2"/>
    <w:multiLevelType w:val="hybridMultilevel"/>
    <w:tmpl w:val="079C2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F1531"/>
    <w:multiLevelType w:val="hybridMultilevel"/>
    <w:tmpl w:val="A1D85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92DFB"/>
    <w:multiLevelType w:val="hybridMultilevel"/>
    <w:tmpl w:val="4B2A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40070"/>
    <w:multiLevelType w:val="hybridMultilevel"/>
    <w:tmpl w:val="D8281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93C5A"/>
    <w:multiLevelType w:val="hybridMultilevel"/>
    <w:tmpl w:val="3584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63159"/>
    <w:multiLevelType w:val="hybridMultilevel"/>
    <w:tmpl w:val="A33835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B771E"/>
    <w:multiLevelType w:val="hybridMultilevel"/>
    <w:tmpl w:val="4F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B7BDC"/>
    <w:multiLevelType w:val="hybridMultilevel"/>
    <w:tmpl w:val="DA2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16579"/>
    <w:multiLevelType w:val="hybridMultilevel"/>
    <w:tmpl w:val="4EBA9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65753"/>
    <w:multiLevelType w:val="hybridMultilevel"/>
    <w:tmpl w:val="8A2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B07A5"/>
    <w:multiLevelType w:val="hybridMultilevel"/>
    <w:tmpl w:val="09E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D7855"/>
    <w:multiLevelType w:val="hybridMultilevel"/>
    <w:tmpl w:val="7478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E018B"/>
    <w:multiLevelType w:val="hybridMultilevel"/>
    <w:tmpl w:val="D590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62D03"/>
    <w:multiLevelType w:val="hybridMultilevel"/>
    <w:tmpl w:val="2BCC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46808"/>
    <w:multiLevelType w:val="hybridMultilevel"/>
    <w:tmpl w:val="6DE0B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51BB2"/>
    <w:multiLevelType w:val="hybridMultilevel"/>
    <w:tmpl w:val="576A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B6AC0"/>
    <w:multiLevelType w:val="hybridMultilevel"/>
    <w:tmpl w:val="1432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60ABC"/>
    <w:multiLevelType w:val="hybridMultilevel"/>
    <w:tmpl w:val="025E4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2A012F"/>
    <w:multiLevelType w:val="hybridMultilevel"/>
    <w:tmpl w:val="44FC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37911"/>
    <w:multiLevelType w:val="hybridMultilevel"/>
    <w:tmpl w:val="BABEB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0870D8"/>
    <w:multiLevelType w:val="hybridMultilevel"/>
    <w:tmpl w:val="B7FCB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458CD"/>
    <w:multiLevelType w:val="hybridMultilevel"/>
    <w:tmpl w:val="008C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5301B"/>
    <w:multiLevelType w:val="hybridMultilevel"/>
    <w:tmpl w:val="7A429C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E5E6C"/>
    <w:multiLevelType w:val="hybridMultilevel"/>
    <w:tmpl w:val="51989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1E2FBA"/>
    <w:multiLevelType w:val="hybridMultilevel"/>
    <w:tmpl w:val="6C6A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752D5"/>
    <w:multiLevelType w:val="hybridMultilevel"/>
    <w:tmpl w:val="FA08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4E1AA6"/>
    <w:multiLevelType w:val="hybridMultilevel"/>
    <w:tmpl w:val="3508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25"/>
  </w:num>
  <w:num w:numId="5">
    <w:abstractNumId w:val="38"/>
  </w:num>
  <w:num w:numId="6">
    <w:abstractNumId w:val="20"/>
  </w:num>
  <w:num w:numId="7">
    <w:abstractNumId w:val="19"/>
  </w:num>
  <w:num w:numId="8">
    <w:abstractNumId w:val="14"/>
  </w:num>
  <w:num w:numId="9">
    <w:abstractNumId w:val="23"/>
  </w:num>
  <w:num w:numId="10">
    <w:abstractNumId w:val="3"/>
  </w:num>
  <w:num w:numId="11">
    <w:abstractNumId w:val="29"/>
  </w:num>
  <w:num w:numId="12">
    <w:abstractNumId w:val="35"/>
  </w:num>
  <w:num w:numId="13">
    <w:abstractNumId w:val="33"/>
  </w:num>
  <w:num w:numId="14">
    <w:abstractNumId w:val="26"/>
  </w:num>
  <w:num w:numId="15">
    <w:abstractNumId w:val="30"/>
  </w:num>
  <w:num w:numId="16">
    <w:abstractNumId w:val="11"/>
  </w:num>
  <w:num w:numId="17">
    <w:abstractNumId w:val="32"/>
  </w:num>
  <w:num w:numId="18">
    <w:abstractNumId w:val="16"/>
  </w:num>
  <w:num w:numId="19">
    <w:abstractNumId w:val="13"/>
  </w:num>
  <w:num w:numId="20">
    <w:abstractNumId w:val="7"/>
  </w:num>
  <w:num w:numId="21">
    <w:abstractNumId w:val="18"/>
  </w:num>
  <w:num w:numId="22">
    <w:abstractNumId w:val="2"/>
  </w:num>
  <w:num w:numId="23">
    <w:abstractNumId w:val="15"/>
  </w:num>
  <w:num w:numId="24">
    <w:abstractNumId w:val="34"/>
  </w:num>
  <w:num w:numId="25">
    <w:abstractNumId w:val="21"/>
  </w:num>
  <w:num w:numId="26">
    <w:abstractNumId w:val="9"/>
  </w:num>
  <w:num w:numId="27">
    <w:abstractNumId w:val="6"/>
  </w:num>
  <w:num w:numId="28">
    <w:abstractNumId w:val="36"/>
  </w:num>
  <w:num w:numId="29">
    <w:abstractNumId w:val="22"/>
  </w:num>
  <w:num w:numId="30">
    <w:abstractNumId w:val="37"/>
  </w:num>
  <w:num w:numId="31">
    <w:abstractNumId w:val="27"/>
  </w:num>
  <w:num w:numId="32">
    <w:abstractNumId w:val="12"/>
  </w:num>
  <w:num w:numId="33">
    <w:abstractNumId w:val="28"/>
  </w:num>
  <w:num w:numId="34">
    <w:abstractNumId w:val="4"/>
  </w:num>
  <w:num w:numId="35">
    <w:abstractNumId w:val="24"/>
  </w:num>
  <w:num w:numId="36">
    <w:abstractNumId w:val="31"/>
  </w:num>
  <w:num w:numId="37">
    <w:abstractNumId w:val="0"/>
  </w:num>
  <w:num w:numId="38">
    <w:abstractNumId w:val="1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A3"/>
    <w:rsid w:val="0000666C"/>
    <w:rsid w:val="00034511"/>
    <w:rsid w:val="002401D5"/>
    <w:rsid w:val="002658F0"/>
    <w:rsid w:val="003F1406"/>
    <w:rsid w:val="005A0701"/>
    <w:rsid w:val="005E22B4"/>
    <w:rsid w:val="00624EF6"/>
    <w:rsid w:val="00627AF6"/>
    <w:rsid w:val="00656EC0"/>
    <w:rsid w:val="006A02BC"/>
    <w:rsid w:val="007368E8"/>
    <w:rsid w:val="007A5653"/>
    <w:rsid w:val="00816F9A"/>
    <w:rsid w:val="008455F0"/>
    <w:rsid w:val="008B5989"/>
    <w:rsid w:val="008C7194"/>
    <w:rsid w:val="009B562B"/>
    <w:rsid w:val="009E2606"/>
    <w:rsid w:val="00A4364C"/>
    <w:rsid w:val="00AD1DA3"/>
    <w:rsid w:val="00B20AB0"/>
    <w:rsid w:val="00BD3C7A"/>
    <w:rsid w:val="00BE14CF"/>
    <w:rsid w:val="00C63EE8"/>
    <w:rsid w:val="00D169DC"/>
    <w:rsid w:val="00D47838"/>
    <w:rsid w:val="00D83075"/>
    <w:rsid w:val="00D93846"/>
    <w:rsid w:val="00E34E90"/>
    <w:rsid w:val="00E53DFB"/>
    <w:rsid w:val="00EE64F6"/>
    <w:rsid w:val="00F1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7EB0"/>
  <w15:chartTrackingRefBased/>
  <w15:docId w15:val="{584FE541-AFB9-0F4F-9454-8FC15EDF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A3"/>
    <w:pPr>
      <w:spacing w:after="160" w:line="259" w:lineRule="auto"/>
    </w:pPr>
    <w:rPr>
      <w:sz w:val="22"/>
      <w:szCs w:val="22"/>
    </w:rPr>
  </w:style>
  <w:style w:type="paragraph" w:styleId="Heading1">
    <w:name w:val="heading 1"/>
    <w:basedOn w:val="Normal"/>
    <w:next w:val="Normal"/>
    <w:link w:val="Heading1Char"/>
    <w:uiPriority w:val="9"/>
    <w:qFormat/>
    <w:rsid w:val="00AD1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D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DA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D1DA3"/>
    <w:pPr>
      <w:ind w:left="720"/>
      <w:contextualSpacing/>
    </w:pPr>
  </w:style>
  <w:style w:type="character" w:customStyle="1" w:styleId="Heading1Char">
    <w:name w:val="Heading 1 Char"/>
    <w:basedOn w:val="DefaultParagraphFont"/>
    <w:link w:val="Heading1"/>
    <w:uiPriority w:val="9"/>
    <w:rsid w:val="00AD1DA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D1D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A3"/>
    <w:rPr>
      <w:sz w:val="22"/>
      <w:szCs w:val="22"/>
    </w:rPr>
  </w:style>
  <w:style w:type="paragraph" w:styleId="Footer">
    <w:name w:val="footer"/>
    <w:basedOn w:val="Normal"/>
    <w:link w:val="FooterChar"/>
    <w:uiPriority w:val="99"/>
    <w:unhideWhenUsed/>
    <w:rsid w:val="00AD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A3"/>
    <w:rPr>
      <w:sz w:val="22"/>
      <w:szCs w:val="22"/>
    </w:rPr>
  </w:style>
  <w:style w:type="paragraph" w:styleId="Subtitle">
    <w:name w:val="Subtitle"/>
    <w:basedOn w:val="Normal"/>
    <w:next w:val="Normal"/>
    <w:link w:val="SubtitleChar"/>
    <w:uiPriority w:val="11"/>
    <w:qFormat/>
    <w:rsid w:val="00AD1D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A3"/>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AD1DA3"/>
    <w:pPr>
      <w:outlineLvl w:val="9"/>
    </w:pPr>
    <w:rPr>
      <w:lang w:val="en-US"/>
    </w:rPr>
  </w:style>
  <w:style w:type="paragraph" w:styleId="TOC2">
    <w:name w:val="toc 2"/>
    <w:basedOn w:val="Normal"/>
    <w:next w:val="Normal"/>
    <w:autoRedefine/>
    <w:uiPriority w:val="39"/>
    <w:unhideWhenUsed/>
    <w:rsid w:val="00AD1DA3"/>
    <w:pPr>
      <w:spacing w:after="100"/>
      <w:ind w:left="220"/>
    </w:pPr>
  </w:style>
  <w:style w:type="character" w:styleId="Hyperlink">
    <w:name w:val="Hyperlink"/>
    <w:basedOn w:val="DefaultParagraphFont"/>
    <w:uiPriority w:val="99"/>
    <w:unhideWhenUsed/>
    <w:rsid w:val="00AD1DA3"/>
    <w:rPr>
      <w:color w:val="0563C1" w:themeColor="hyperlink"/>
      <w:u w:val="single"/>
    </w:rPr>
  </w:style>
  <w:style w:type="character" w:customStyle="1" w:styleId="UnresolvedMention1">
    <w:name w:val="Unresolved Mention1"/>
    <w:basedOn w:val="DefaultParagraphFont"/>
    <w:uiPriority w:val="99"/>
    <w:semiHidden/>
    <w:unhideWhenUsed/>
    <w:rsid w:val="00AD1DA3"/>
    <w:rPr>
      <w:color w:val="605E5C"/>
      <w:shd w:val="clear" w:color="auto" w:fill="E1DFDD"/>
    </w:rPr>
  </w:style>
  <w:style w:type="paragraph" w:styleId="BalloonText">
    <w:name w:val="Balloon Text"/>
    <w:basedOn w:val="Normal"/>
    <w:link w:val="BalloonTextChar"/>
    <w:uiPriority w:val="99"/>
    <w:semiHidden/>
    <w:unhideWhenUsed/>
    <w:rsid w:val="00AD1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A3"/>
    <w:rPr>
      <w:rFonts w:ascii="Segoe UI" w:hAnsi="Segoe UI" w:cs="Segoe UI"/>
      <w:sz w:val="18"/>
      <w:szCs w:val="18"/>
    </w:rPr>
  </w:style>
  <w:style w:type="character" w:styleId="CommentReference">
    <w:name w:val="annotation reference"/>
    <w:basedOn w:val="DefaultParagraphFont"/>
    <w:uiPriority w:val="99"/>
    <w:semiHidden/>
    <w:unhideWhenUsed/>
    <w:rsid w:val="00AD1DA3"/>
    <w:rPr>
      <w:sz w:val="16"/>
      <w:szCs w:val="16"/>
    </w:rPr>
  </w:style>
  <w:style w:type="paragraph" w:styleId="CommentText">
    <w:name w:val="annotation text"/>
    <w:basedOn w:val="Normal"/>
    <w:link w:val="CommentTextChar"/>
    <w:uiPriority w:val="99"/>
    <w:semiHidden/>
    <w:unhideWhenUsed/>
    <w:rsid w:val="00AD1DA3"/>
    <w:pPr>
      <w:spacing w:line="240" w:lineRule="auto"/>
    </w:pPr>
    <w:rPr>
      <w:sz w:val="20"/>
      <w:szCs w:val="20"/>
    </w:rPr>
  </w:style>
  <w:style w:type="character" w:customStyle="1" w:styleId="CommentTextChar">
    <w:name w:val="Comment Text Char"/>
    <w:basedOn w:val="DefaultParagraphFont"/>
    <w:link w:val="CommentText"/>
    <w:uiPriority w:val="99"/>
    <w:semiHidden/>
    <w:rsid w:val="00AD1DA3"/>
    <w:rPr>
      <w:sz w:val="20"/>
      <w:szCs w:val="20"/>
    </w:rPr>
  </w:style>
  <w:style w:type="paragraph" w:styleId="CommentSubject">
    <w:name w:val="annotation subject"/>
    <w:basedOn w:val="CommentText"/>
    <w:next w:val="CommentText"/>
    <w:link w:val="CommentSubjectChar"/>
    <w:uiPriority w:val="99"/>
    <w:semiHidden/>
    <w:unhideWhenUsed/>
    <w:rsid w:val="00AD1DA3"/>
    <w:rPr>
      <w:b/>
      <w:bCs/>
    </w:rPr>
  </w:style>
  <w:style w:type="character" w:customStyle="1" w:styleId="CommentSubjectChar">
    <w:name w:val="Comment Subject Char"/>
    <w:basedOn w:val="CommentTextChar"/>
    <w:link w:val="CommentSubject"/>
    <w:uiPriority w:val="99"/>
    <w:semiHidden/>
    <w:rsid w:val="00AD1DA3"/>
    <w:rPr>
      <w:b/>
      <w:bCs/>
      <w:sz w:val="20"/>
      <w:szCs w:val="20"/>
    </w:rPr>
  </w:style>
  <w:style w:type="paragraph" w:styleId="NormalWeb">
    <w:name w:val="Normal (Web)"/>
    <w:basedOn w:val="Normal"/>
    <w:uiPriority w:val="99"/>
    <w:unhideWhenUsed/>
    <w:rsid w:val="00AD1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D1DA3"/>
  </w:style>
  <w:style w:type="table" w:styleId="GridTable4-Accent5">
    <w:name w:val="Grid Table 4 Accent 5"/>
    <w:basedOn w:val="TableNormal"/>
    <w:uiPriority w:val="49"/>
    <w:rsid w:val="0003451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82370">
      <w:bodyDiv w:val="1"/>
      <w:marLeft w:val="0"/>
      <w:marRight w:val="0"/>
      <w:marTop w:val="0"/>
      <w:marBottom w:val="0"/>
      <w:divBdr>
        <w:top w:val="none" w:sz="0" w:space="0" w:color="auto"/>
        <w:left w:val="none" w:sz="0" w:space="0" w:color="auto"/>
        <w:bottom w:val="none" w:sz="0" w:space="0" w:color="auto"/>
        <w:right w:val="none" w:sz="0" w:space="0" w:color="auto"/>
      </w:divBdr>
      <w:divsChild>
        <w:div w:id="791019714">
          <w:marLeft w:val="0"/>
          <w:marRight w:val="0"/>
          <w:marTop w:val="0"/>
          <w:marBottom w:val="0"/>
          <w:divBdr>
            <w:top w:val="none" w:sz="0" w:space="0" w:color="auto"/>
            <w:left w:val="none" w:sz="0" w:space="0" w:color="auto"/>
            <w:bottom w:val="none" w:sz="0" w:space="0" w:color="auto"/>
            <w:right w:val="none" w:sz="0" w:space="0" w:color="auto"/>
          </w:divBdr>
          <w:divsChild>
            <w:div w:id="114570381">
              <w:marLeft w:val="0"/>
              <w:marRight w:val="0"/>
              <w:marTop w:val="0"/>
              <w:marBottom w:val="0"/>
              <w:divBdr>
                <w:top w:val="none" w:sz="0" w:space="0" w:color="auto"/>
                <w:left w:val="none" w:sz="0" w:space="0" w:color="auto"/>
                <w:bottom w:val="none" w:sz="0" w:space="0" w:color="auto"/>
                <w:right w:val="none" w:sz="0" w:space="0" w:color="auto"/>
              </w:divBdr>
              <w:divsChild>
                <w:div w:id="17924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CE82AE-047D-47A6-8E8D-8E1EFFAA2A9D}" type="doc">
      <dgm:prSet loTypeId="urn:microsoft.com/office/officeart/2005/8/layout/pyramid1" loCatId="pyramid" qsTypeId="urn:microsoft.com/office/officeart/2005/8/quickstyle/simple1" qsCatId="simple" csTypeId="urn:microsoft.com/office/officeart/2005/8/colors/accent1_2" csCatId="accent1" phldr="1"/>
      <dgm:spPr/>
    </dgm:pt>
    <dgm:pt modelId="{01D0ABB2-92E6-4A92-A02C-7A7F0756FB8F}">
      <dgm:prSet phldrT="[Text]" custT="1"/>
      <dgm:spPr/>
      <dgm:t>
        <a:bodyPr/>
        <a:lstStyle/>
        <a:p>
          <a:endParaRPr lang="en-GB" sz="1200"/>
        </a:p>
      </dgm:t>
    </dgm:pt>
    <dgm:pt modelId="{5A91C18E-DAD1-429F-BD9C-4548AB88B82A}" type="parTrans" cxnId="{9FC12DF9-F4DF-44C2-B7E6-DF9487406E50}">
      <dgm:prSet/>
      <dgm:spPr/>
      <dgm:t>
        <a:bodyPr/>
        <a:lstStyle/>
        <a:p>
          <a:endParaRPr lang="en-GB"/>
        </a:p>
      </dgm:t>
    </dgm:pt>
    <dgm:pt modelId="{1B58CF10-2A1A-48DC-AF9F-D05C0F55D3E2}" type="sibTrans" cxnId="{9FC12DF9-F4DF-44C2-B7E6-DF9487406E50}">
      <dgm:prSet/>
      <dgm:spPr/>
      <dgm:t>
        <a:bodyPr/>
        <a:lstStyle/>
        <a:p>
          <a:endParaRPr lang="en-GB"/>
        </a:p>
      </dgm:t>
    </dgm:pt>
    <dgm:pt modelId="{0DBBE061-FAA9-4915-85EE-BFE7D4F5D6FA}">
      <dgm:prSet phldrT="[Text]" custT="1"/>
      <dgm:spPr/>
      <dgm:t>
        <a:bodyPr/>
        <a:lstStyle/>
        <a:p>
          <a:endParaRPr lang="en-GB" sz="1200"/>
        </a:p>
      </dgm:t>
    </dgm:pt>
    <dgm:pt modelId="{AA5F8AAB-62C1-4659-AEAE-0E5A07BC3AB0}" type="parTrans" cxnId="{1B9C1DA3-5899-4A7B-9606-3E754FA83F2A}">
      <dgm:prSet/>
      <dgm:spPr/>
      <dgm:t>
        <a:bodyPr/>
        <a:lstStyle/>
        <a:p>
          <a:endParaRPr lang="en-GB"/>
        </a:p>
      </dgm:t>
    </dgm:pt>
    <dgm:pt modelId="{A096A54E-861C-4B3E-A494-1A14EAC5E814}" type="sibTrans" cxnId="{1B9C1DA3-5899-4A7B-9606-3E754FA83F2A}">
      <dgm:prSet/>
      <dgm:spPr/>
      <dgm:t>
        <a:bodyPr/>
        <a:lstStyle/>
        <a:p>
          <a:endParaRPr lang="en-GB"/>
        </a:p>
      </dgm:t>
    </dgm:pt>
    <dgm:pt modelId="{235CB315-D340-424B-BBB1-C7A8802DC038}">
      <dgm:prSet phldrT="[Text]" custT="1"/>
      <dgm:spPr/>
      <dgm:t>
        <a:bodyPr/>
        <a:lstStyle/>
        <a:p>
          <a:endParaRPr lang="en-GB" sz="1200"/>
        </a:p>
      </dgm:t>
    </dgm:pt>
    <dgm:pt modelId="{F026841C-A5DF-451B-8ABF-998CBAA737EC}" type="parTrans" cxnId="{8F30B98F-E787-4FD7-B95F-810EF30B6792}">
      <dgm:prSet/>
      <dgm:spPr/>
      <dgm:t>
        <a:bodyPr/>
        <a:lstStyle/>
        <a:p>
          <a:endParaRPr lang="en-GB"/>
        </a:p>
      </dgm:t>
    </dgm:pt>
    <dgm:pt modelId="{2321DA82-71A9-44BE-B5AB-FA52AD4105E3}" type="sibTrans" cxnId="{8F30B98F-E787-4FD7-B95F-810EF30B6792}">
      <dgm:prSet/>
      <dgm:spPr/>
      <dgm:t>
        <a:bodyPr/>
        <a:lstStyle/>
        <a:p>
          <a:endParaRPr lang="en-GB"/>
        </a:p>
      </dgm:t>
    </dgm:pt>
    <dgm:pt modelId="{D5081F1C-8B72-416A-95F4-D547F2CE53E8}">
      <dgm:prSet phldrT="[Text]" custT="1"/>
      <dgm:spPr/>
      <dgm:t>
        <a:bodyPr/>
        <a:lstStyle/>
        <a:p>
          <a:endParaRPr lang="en-GB" sz="1200"/>
        </a:p>
      </dgm:t>
    </dgm:pt>
    <dgm:pt modelId="{1CD417C0-E77E-4E92-BEEB-19C4D6883245}" type="parTrans" cxnId="{CE6B0952-8CA7-4CFC-80D9-6A3BD7475782}">
      <dgm:prSet/>
      <dgm:spPr/>
      <dgm:t>
        <a:bodyPr/>
        <a:lstStyle/>
        <a:p>
          <a:endParaRPr lang="en-GB"/>
        </a:p>
      </dgm:t>
    </dgm:pt>
    <dgm:pt modelId="{22F56D79-FF40-447A-9F66-22EB2E82D1D8}" type="sibTrans" cxnId="{CE6B0952-8CA7-4CFC-80D9-6A3BD7475782}">
      <dgm:prSet/>
      <dgm:spPr/>
      <dgm:t>
        <a:bodyPr/>
        <a:lstStyle/>
        <a:p>
          <a:endParaRPr lang="en-GB"/>
        </a:p>
      </dgm:t>
    </dgm:pt>
    <dgm:pt modelId="{D876100D-D9CA-4D21-AAE8-C105D97E2610}">
      <dgm:prSet phldrT="[Text]" custT="1"/>
      <dgm:spPr/>
      <dgm:t>
        <a:bodyPr/>
        <a:lstStyle/>
        <a:p>
          <a:endParaRPr lang="en-GB" sz="1200"/>
        </a:p>
      </dgm:t>
    </dgm:pt>
    <dgm:pt modelId="{6F07DEE3-21ED-49D1-B2A5-2041FEBD71C6}" type="parTrans" cxnId="{B8816C76-BE1A-450A-940B-449BCA5D85BC}">
      <dgm:prSet/>
      <dgm:spPr/>
      <dgm:t>
        <a:bodyPr/>
        <a:lstStyle/>
        <a:p>
          <a:endParaRPr lang="en-GB"/>
        </a:p>
      </dgm:t>
    </dgm:pt>
    <dgm:pt modelId="{EC47803D-BD67-46F1-8D64-7557DE5EE495}" type="sibTrans" cxnId="{B8816C76-BE1A-450A-940B-449BCA5D85BC}">
      <dgm:prSet/>
      <dgm:spPr/>
      <dgm:t>
        <a:bodyPr/>
        <a:lstStyle/>
        <a:p>
          <a:endParaRPr lang="en-GB"/>
        </a:p>
      </dgm:t>
    </dgm:pt>
    <dgm:pt modelId="{EC665C72-5FDC-4665-86C7-5F48A2D400D2}">
      <dgm:prSet phldrT="[Text]" custT="1"/>
      <dgm:spPr/>
      <dgm:t>
        <a:bodyPr/>
        <a:lstStyle/>
        <a:p>
          <a:endParaRPr lang="en-GB" sz="1200"/>
        </a:p>
      </dgm:t>
    </dgm:pt>
    <dgm:pt modelId="{C9DB0EF0-EA6D-4B86-BDC8-00DB5D5FBC1A}" type="parTrans" cxnId="{6F28DCD4-5D23-4CC8-89B7-E29EF733A6D7}">
      <dgm:prSet/>
      <dgm:spPr/>
      <dgm:t>
        <a:bodyPr/>
        <a:lstStyle/>
        <a:p>
          <a:endParaRPr lang="en-GB"/>
        </a:p>
      </dgm:t>
    </dgm:pt>
    <dgm:pt modelId="{26D1F283-E3A2-466C-B8EF-6A9ECA4B0E9F}" type="sibTrans" cxnId="{6F28DCD4-5D23-4CC8-89B7-E29EF733A6D7}">
      <dgm:prSet/>
      <dgm:spPr/>
      <dgm:t>
        <a:bodyPr/>
        <a:lstStyle/>
        <a:p>
          <a:endParaRPr lang="en-GB"/>
        </a:p>
      </dgm:t>
    </dgm:pt>
    <dgm:pt modelId="{DD2B7B65-FD00-4BBB-A43B-7805F15EF667}">
      <dgm:prSet phldrT="[Text]" custT="1"/>
      <dgm:spPr/>
      <dgm:t>
        <a:bodyPr/>
        <a:lstStyle/>
        <a:p>
          <a:endParaRPr lang="en-GB" sz="1200"/>
        </a:p>
      </dgm:t>
    </dgm:pt>
    <dgm:pt modelId="{E02B1D9F-40CC-436D-887E-EAB68146E116}" type="sibTrans" cxnId="{E7F79840-40D7-42BF-AC97-AB4792197FE9}">
      <dgm:prSet/>
      <dgm:spPr/>
      <dgm:t>
        <a:bodyPr/>
        <a:lstStyle/>
        <a:p>
          <a:endParaRPr lang="en-GB"/>
        </a:p>
      </dgm:t>
    </dgm:pt>
    <dgm:pt modelId="{D74CB829-6366-46A5-9E35-CD11B46C3F1D}" type="parTrans" cxnId="{E7F79840-40D7-42BF-AC97-AB4792197FE9}">
      <dgm:prSet/>
      <dgm:spPr/>
      <dgm:t>
        <a:bodyPr/>
        <a:lstStyle/>
        <a:p>
          <a:endParaRPr lang="en-GB"/>
        </a:p>
      </dgm:t>
    </dgm:pt>
    <dgm:pt modelId="{CF2E8930-1F17-4DFE-887A-BB3CB12922DA}" type="pres">
      <dgm:prSet presAssocID="{C5CE82AE-047D-47A6-8E8D-8E1EFFAA2A9D}" presName="Name0" presStyleCnt="0">
        <dgm:presLayoutVars>
          <dgm:dir/>
          <dgm:animLvl val="lvl"/>
          <dgm:resizeHandles val="exact"/>
        </dgm:presLayoutVars>
      </dgm:prSet>
      <dgm:spPr/>
    </dgm:pt>
    <dgm:pt modelId="{7DE46A5A-3F02-42CA-BC4E-386401E4552F}" type="pres">
      <dgm:prSet presAssocID="{01D0ABB2-92E6-4A92-A02C-7A7F0756FB8F}" presName="Name8" presStyleCnt="0"/>
      <dgm:spPr/>
    </dgm:pt>
    <dgm:pt modelId="{3939C400-ECF5-4AC2-9676-F4BBE9136D94}" type="pres">
      <dgm:prSet presAssocID="{01D0ABB2-92E6-4A92-A02C-7A7F0756FB8F}" presName="level" presStyleLbl="node1" presStyleIdx="0" presStyleCnt="7">
        <dgm:presLayoutVars>
          <dgm:chMax val="1"/>
          <dgm:bulletEnabled val="1"/>
        </dgm:presLayoutVars>
      </dgm:prSet>
      <dgm:spPr/>
    </dgm:pt>
    <dgm:pt modelId="{FD7A8D15-4F41-4F2B-B9C3-6277495A3175}" type="pres">
      <dgm:prSet presAssocID="{01D0ABB2-92E6-4A92-A02C-7A7F0756FB8F}" presName="levelTx" presStyleLbl="revTx" presStyleIdx="0" presStyleCnt="0">
        <dgm:presLayoutVars>
          <dgm:chMax val="1"/>
          <dgm:bulletEnabled val="1"/>
        </dgm:presLayoutVars>
      </dgm:prSet>
      <dgm:spPr/>
    </dgm:pt>
    <dgm:pt modelId="{040F116B-B7D4-43C5-9943-3CB955954251}" type="pres">
      <dgm:prSet presAssocID="{0DBBE061-FAA9-4915-85EE-BFE7D4F5D6FA}" presName="Name8" presStyleCnt="0"/>
      <dgm:spPr/>
    </dgm:pt>
    <dgm:pt modelId="{CD48D422-C4FC-4BAE-8D9E-8B2BCBD211C9}" type="pres">
      <dgm:prSet presAssocID="{0DBBE061-FAA9-4915-85EE-BFE7D4F5D6FA}" presName="level" presStyleLbl="node1" presStyleIdx="1" presStyleCnt="7">
        <dgm:presLayoutVars>
          <dgm:chMax val="1"/>
          <dgm:bulletEnabled val="1"/>
        </dgm:presLayoutVars>
      </dgm:prSet>
      <dgm:spPr/>
    </dgm:pt>
    <dgm:pt modelId="{8D7A4EDD-CA9E-480F-9625-3D904D1F9232}" type="pres">
      <dgm:prSet presAssocID="{0DBBE061-FAA9-4915-85EE-BFE7D4F5D6FA}" presName="levelTx" presStyleLbl="revTx" presStyleIdx="0" presStyleCnt="0">
        <dgm:presLayoutVars>
          <dgm:chMax val="1"/>
          <dgm:bulletEnabled val="1"/>
        </dgm:presLayoutVars>
      </dgm:prSet>
      <dgm:spPr/>
    </dgm:pt>
    <dgm:pt modelId="{1CCA1D08-A937-4F98-AE45-55C00770F3C8}" type="pres">
      <dgm:prSet presAssocID="{235CB315-D340-424B-BBB1-C7A8802DC038}" presName="Name8" presStyleCnt="0"/>
      <dgm:spPr/>
    </dgm:pt>
    <dgm:pt modelId="{24717043-A106-4E60-8A1E-6CDB268D2D65}" type="pres">
      <dgm:prSet presAssocID="{235CB315-D340-424B-BBB1-C7A8802DC038}" presName="level" presStyleLbl="node1" presStyleIdx="2" presStyleCnt="7">
        <dgm:presLayoutVars>
          <dgm:chMax val="1"/>
          <dgm:bulletEnabled val="1"/>
        </dgm:presLayoutVars>
      </dgm:prSet>
      <dgm:spPr/>
    </dgm:pt>
    <dgm:pt modelId="{6FCCA854-4C9C-4A61-A8B3-FC867DF888B2}" type="pres">
      <dgm:prSet presAssocID="{235CB315-D340-424B-BBB1-C7A8802DC038}" presName="levelTx" presStyleLbl="revTx" presStyleIdx="0" presStyleCnt="0">
        <dgm:presLayoutVars>
          <dgm:chMax val="1"/>
          <dgm:bulletEnabled val="1"/>
        </dgm:presLayoutVars>
      </dgm:prSet>
      <dgm:spPr/>
    </dgm:pt>
    <dgm:pt modelId="{5323D186-BA58-4E1D-A905-9CF2221C00B8}" type="pres">
      <dgm:prSet presAssocID="{D5081F1C-8B72-416A-95F4-D547F2CE53E8}" presName="Name8" presStyleCnt="0"/>
      <dgm:spPr/>
    </dgm:pt>
    <dgm:pt modelId="{860C4838-09CF-4FD1-AEE2-010839411CC4}" type="pres">
      <dgm:prSet presAssocID="{D5081F1C-8B72-416A-95F4-D547F2CE53E8}" presName="level" presStyleLbl="node1" presStyleIdx="3" presStyleCnt="7">
        <dgm:presLayoutVars>
          <dgm:chMax val="1"/>
          <dgm:bulletEnabled val="1"/>
        </dgm:presLayoutVars>
      </dgm:prSet>
      <dgm:spPr/>
    </dgm:pt>
    <dgm:pt modelId="{2E083814-1DA6-4FB9-A0CE-4E8675033757}" type="pres">
      <dgm:prSet presAssocID="{D5081F1C-8B72-416A-95F4-D547F2CE53E8}" presName="levelTx" presStyleLbl="revTx" presStyleIdx="0" presStyleCnt="0">
        <dgm:presLayoutVars>
          <dgm:chMax val="1"/>
          <dgm:bulletEnabled val="1"/>
        </dgm:presLayoutVars>
      </dgm:prSet>
      <dgm:spPr/>
    </dgm:pt>
    <dgm:pt modelId="{7BC423C3-1ADA-4738-B12B-5812AE708B21}" type="pres">
      <dgm:prSet presAssocID="{D876100D-D9CA-4D21-AAE8-C105D97E2610}" presName="Name8" presStyleCnt="0"/>
      <dgm:spPr/>
    </dgm:pt>
    <dgm:pt modelId="{1077A931-1D4A-4D68-A0EE-E06308AF308D}" type="pres">
      <dgm:prSet presAssocID="{D876100D-D9CA-4D21-AAE8-C105D97E2610}" presName="level" presStyleLbl="node1" presStyleIdx="4" presStyleCnt="7">
        <dgm:presLayoutVars>
          <dgm:chMax val="1"/>
          <dgm:bulletEnabled val="1"/>
        </dgm:presLayoutVars>
      </dgm:prSet>
      <dgm:spPr/>
    </dgm:pt>
    <dgm:pt modelId="{A2421644-9D50-4202-A795-B148E518901D}" type="pres">
      <dgm:prSet presAssocID="{D876100D-D9CA-4D21-AAE8-C105D97E2610}" presName="levelTx" presStyleLbl="revTx" presStyleIdx="0" presStyleCnt="0">
        <dgm:presLayoutVars>
          <dgm:chMax val="1"/>
          <dgm:bulletEnabled val="1"/>
        </dgm:presLayoutVars>
      </dgm:prSet>
      <dgm:spPr/>
    </dgm:pt>
    <dgm:pt modelId="{A441EC4D-A37F-44BC-A66C-4D41B5EF65E6}" type="pres">
      <dgm:prSet presAssocID="{EC665C72-5FDC-4665-86C7-5F48A2D400D2}" presName="Name8" presStyleCnt="0"/>
      <dgm:spPr/>
    </dgm:pt>
    <dgm:pt modelId="{58685B5E-552A-41E7-A412-529D8BC97E7D}" type="pres">
      <dgm:prSet presAssocID="{EC665C72-5FDC-4665-86C7-5F48A2D400D2}" presName="level" presStyleLbl="node1" presStyleIdx="5" presStyleCnt="7">
        <dgm:presLayoutVars>
          <dgm:chMax val="1"/>
          <dgm:bulletEnabled val="1"/>
        </dgm:presLayoutVars>
      </dgm:prSet>
      <dgm:spPr/>
    </dgm:pt>
    <dgm:pt modelId="{BA894524-BD2C-4AA8-AA22-C9A07350518C}" type="pres">
      <dgm:prSet presAssocID="{EC665C72-5FDC-4665-86C7-5F48A2D400D2}" presName="levelTx" presStyleLbl="revTx" presStyleIdx="0" presStyleCnt="0">
        <dgm:presLayoutVars>
          <dgm:chMax val="1"/>
          <dgm:bulletEnabled val="1"/>
        </dgm:presLayoutVars>
      </dgm:prSet>
      <dgm:spPr/>
    </dgm:pt>
    <dgm:pt modelId="{02C76C69-497B-4C7E-A98F-E78602888C11}" type="pres">
      <dgm:prSet presAssocID="{DD2B7B65-FD00-4BBB-A43B-7805F15EF667}" presName="Name8" presStyleCnt="0"/>
      <dgm:spPr/>
    </dgm:pt>
    <dgm:pt modelId="{25D26827-1467-496F-8CED-1C0B7851E321}" type="pres">
      <dgm:prSet presAssocID="{DD2B7B65-FD00-4BBB-A43B-7805F15EF667}" presName="level" presStyleLbl="node1" presStyleIdx="6" presStyleCnt="7">
        <dgm:presLayoutVars>
          <dgm:chMax val="1"/>
          <dgm:bulletEnabled val="1"/>
        </dgm:presLayoutVars>
      </dgm:prSet>
      <dgm:spPr/>
    </dgm:pt>
    <dgm:pt modelId="{48D47425-EAAC-4CA3-BF0A-581841BA42CA}" type="pres">
      <dgm:prSet presAssocID="{DD2B7B65-FD00-4BBB-A43B-7805F15EF667}" presName="levelTx" presStyleLbl="revTx" presStyleIdx="0" presStyleCnt="0">
        <dgm:presLayoutVars>
          <dgm:chMax val="1"/>
          <dgm:bulletEnabled val="1"/>
        </dgm:presLayoutVars>
      </dgm:prSet>
      <dgm:spPr/>
    </dgm:pt>
  </dgm:ptLst>
  <dgm:cxnLst>
    <dgm:cxn modelId="{2D46E207-CFB7-44C1-B493-6DF623EF4197}" type="presOf" srcId="{01D0ABB2-92E6-4A92-A02C-7A7F0756FB8F}" destId="{3939C400-ECF5-4AC2-9676-F4BBE9136D94}" srcOrd="0" destOrd="0" presId="urn:microsoft.com/office/officeart/2005/8/layout/pyramid1"/>
    <dgm:cxn modelId="{7684FA0D-DD93-4DC4-BF52-1FA60C595ADE}" type="presOf" srcId="{D5081F1C-8B72-416A-95F4-D547F2CE53E8}" destId="{860C4838-09CF-4FD1-AEE2-010839411CC4}" srcOrd="0" destOrd="0" presId="urn:microsoft.com/office/officeart/2005/8/layout/pyramid1"/>
    <dgm:cxn modelId="{DAB28610-6C0E-4A6F-B9E6-E0A0D242D85A}" type="presOf" srcId="{C5CE82AE-047D-47A6-8E8D-8E1EFFAA2A9D}" destId="{CF2E8930-1F17-4DFE-887A-BB3CB12922DA}" srcOrd="0" destOrd="0" presId="urn:microsoft.com/office/officeart/2005/8/layout/pyramid1"/>
    <dgm:cxn modelId="{BF01E715-B69F-4F6C-B62A-96D91617BDF7}" type="presOf" srcId="{EC665C72-5FDC-4665-86C7-5F48A2D400D2}" destId="{BA894524-BD2C-4AA8-AA22-C9A07350518C}" srcOrd="1" destOrd="0" presId="urn:microsoft.com/office/officeart/2005/8/layout/pyramid1"/>
    <dgm:cxn modelId="{220C4A20-E55A-457C-BD8F-0EA43BA5D9FA}" type="presOf" srcId="{D876100D-D9CA-4D21-AAE8-C105D97E2610}" destId="{A2421644-9D50-4202-A795-B148E518901D}" srcOrd="1" destOrd="0" presId="urn:microsoft.com/office/officeart/2005/8/layout/pyramid1"/>
    <dgm:cxn modelId="{E7F79840-40D7-42BF-AC97-AB4792197FE9}" srcId="{C5CE82AE-047D-47A6-8E8D-8E1EFFAA2A9D}" destId="{DD2B7B65-FD00-4BBB-A43B-7805F15EF667}" srcOrd="6" destOrd="0" parTransId="{D74CB829-6366-46A5-9E35-CD11B46C3F1D}" sibTransId="{E02B1D9F-40CC-436D-887E-EAB68146E116}"/>
    <dgm:cxn modelId="{CE6B0952-8CA7-4CFC-80D9-6A3BD7475782}" srcId="{C5CE82AE-047D-47A6-8E8D-8E1EFFAA2A9D}" destId="{D5081F1C-8B72-416A-95F4-D547F2CE53E8}" srcOrd="3" destOrd="0" parTransId="{1CD417C0-E77E-4E92-BEEB-19C4D6883245}" sibTransId="{22F56D79-FF40-447A-9F66-22EB2E82D1D8}"/>
    <dgm:cxn modelId="{B9E42056-D8A6-43CD-90C4-6510E853C5F5}" type="presOf" srcId="{D5081F1C-8B72-416A-95F4-D547F2CE53E8}" destId="{2E083814-1DA6-4FB9-A0CE-4E8675033757}" srcOrd="1" destOrd="0" presId="urn:microsoft.com/office/officeart/2005/8/layout/pyramid1"/>
    <dgm:cxn modelId="{0B049F57-599F-41F3-91CA-D19ECB3F797C}" type="presOf" srcId="{235CB315-D340-424B-BBB1-C7A8802DC038}" destId="{24717043-A106-4E60-8A1E-6CDB268D2D65}" srcOrd="0" destOrd="0" presId="urn:microsoft.com/office/officeart/2005/8/layout/pyramid1"/>
    <dgm:cxn modelId="{E4142360-224D-45AA-9878-452B86864D7A}" type="presOf" srcId="{01D0ABB2-92E6-4A92-A02C-7A7F0756FB8F}" destId="{FD7A8D15-4F41-4F2B-B9C3-6277495A3175}" srcOrd="1" destOrd="0" presId="urn:microsoft.com/office/officeart/2005/8/layout/pyramid1"/>
    <dgm:cxn modelId="{B8816C76-BE1A-450A-940B-449BCA5D85BC}" srcId="{C5CE82AE-047D-47A6-8E8D-8E1EFFAA2A9D}" destId="{D876100D-D9CA-4D21-AAE8-C105D97E2610}" srcOrd="4" destOrd="0" parTransId="{6F07DEE3-21ED-49D1-B2A5-2041FEBD71C6}" sibTransId="{EC47803D-BD67-46F1-8D64-7557DE5EE495}"/>
    <dgm:cxn modelId="{7A224D7E-F90D-464C-A6D0-CF7B261DBD2A}" type="presOf" srcId="{DD2B7B65-FD00-4BBB-A43B-7805F15EF667}" destId="{48D47425-EAAC-4CA3-BF0A-581841BA42CA}" srcOrd="1" destOrd="0" presId="urn:microsoft.com/office/officeart/2005/8/layout/pyramid1"/>
    <dgm:cxn modelId="{77FC8F7F-A4F5-45F3-8211-D1A3BB6E07F3}" type="presOf" srcId="{0DBBE061-FAA9-4915-85EE-BFE7D4F5D6FA}" destId="{8D7A4EDD-CA9E-480F-9625-3D904D1F9232}" srcOrd="1" destOrd="0" presId="urn:microsoft.com/office/officeart/2005/8/layout/pyramid1"/>
    <dgm:cxn modelId="{2BA4BC8D-B2D5-4B57-B963-B89F46C0C46F}" type="presOf" srcId="{EC665C72-5FDC-4665-86C7-5F48A2D400D2}" destId="{58685B5E-552A-41E7-A412-529D8BC97E7D}" srcOrd="0" destOrd="0" presId="urn:microsoft.com/office/officeart/2005/8/layout/pyramid1"/>
    <dgm:cxn modelId="{8F30B98F-E787-4FD7-B95F-810EF30B6792}" srcId="{C5CE82AE-047D-47A6-8E8D-8E1EFFAA2A9D}" destId="{235CB315-D340-424B-BBB1-C7A8802DC038}" srcOrd="2" destOrd="0" parTransId="{F026841C-A5DF-451B-8ABF-998CBAA737EC}" sibTransId="{2321DA82-71A9-44BE-B5AB-FA52AD4105E3}"/>
    <dgm:cxn modelId="{1B9C1DA3-5899-4A7B-9606-3E754FA83F2A}" srcId="{C5CE82AE-047D-47A6-8E8D-8E1EFFAA2A9D}" destId="{0DBBE061-FAA9-4915-85EE-BFE7D4F5D6FA}" srcOrd="1" destOrd="0" parTransId="{AA5F8AAB-62C1-4659-AEAE-0E5A07BC3AB0}" sibTransId="{A096A54E-861C-4B3E-A494-1A14EAC5E814}"/>
    <dgm:cxn modelId="{4DA5CDA4-A494-4E7A-8E48-D1EB6A2F735F}" type="presOf" srcId="{DD2B7B65-FD00-4BBB-A43B-7805F15EF667}" destId="{25D26827-1467-496F-8CED-1C0B7851E321}" srcOrd="0" destOrd="0" presId="urn:microsoft.com/office/officeart/2005/8/layout/pyramid1"/>
    <dgm:cxn modelId="{6F28DCD4-5D23-4CC8-89B7-E29EF733A6D7}" srcId="{C5CE82AE-047D-47A6-8E8D-8E1EFFAA2A9D}" destId="{EC665C72-5FDC-4665-86C7-5F48A2D400D2}" srcOrd="5" destOrd="0" parTransId="{C9DB0EF0-EA6D-4B86-BDC8-00DB5D5FBC1A}" sibTransId="{26D1F283-E3A2-466C-B8EF-6A9ECA4B0E9F}"/>
    <dgm:cxn modelId="{68D49FD5-414A-44D1-B43A-8DAA7CF080CF}" type="presOf" srcId="{D876100D-D9CA-4D21-AAE8-C105D97E2610}" destId="{1077A931-1D4A-4D68-A0EE-E06308AF308D}" srcOrd="0" destOrd="0" presId="urn:microsoft.com/office/officeart/2005/8/layout/pyramid1"/>
    <dgm:cxn modelId="{201669E5-5A9D-4751-ABD2-C7B01E37CC03}" type="presOf" srcId="{0DBBE061-FAA9-4915-85EE-BFE7D4F5D6FA}" destId="{CD48D422-C4FC-4BAE-8D9E-8B2BCBD211C9}" srcOrd="0" destOrd="0" presId="urn:microsoft.com/office/officeart/2005/8/layout/pyramid1"/>
    <dgm:cxn modelId="{EA41AFF6-CC14-46B3-A73D-8A17A340815D}" type="presOf" srcId="{235CB315-D340-424B-BBB1-C7A8802DC038}" destId="{6FCCA854-4C9C-4A61-A8B3-FC867DF888B2}" srcOrd="1" destOrd="0" presId="urn:microsoft.com/office/officeart/2005/8/layout/pyramid1"/>
    <dgm:cxn modelId="{9FC12DF9-F4DF-44C2-B7E6-DF9487406E50}" srcId="{C5CE82AE-047D-47A6-8E8D-8E1EFFAA2A9D}" destId="{01D0ABB2-92E6-4A92-A02C-7A7F0756FB8F}" srcOrd="0" destOrd="0" parTransId="{5A91C18E-DAD1-429F-BD9C-4548AB88B82A}" sibTransId="{1B58CF10-2A1A-48DC-AF9F-D05C0F55D3E2}"/>
    <dgm:cxn modelId="{9DCA1A11-F512-4121-86A6-37A338108333}" type="presParOf" srcId="{CF2E8930-1F17-4DFE-887A-BB3CB12922DA}" destId="{7DE46A5A-3F02-42CA-BC4E-386401E4552F}" srcOrd="0" destOrd="0" presId="urn:microsoft.com/office/officeart/2005/8/layout/pyramid1"/>
    <dgm:cxn modelId="{45393917-F55A-4DCE-AA0A-0238C0A1A74C}" type="presParOf" srcId="{7DE46A5A-3F02-42CA-BC4E-386401E4552F}" destId="{3939C400-ECF5-4AC2-9676-F4BBE9136D94}" srcOrd="0" destOrd="0" presId="urn:microsoft.com/office/officeart/2005/8/layout/pyramid1"/>
    <dgm:cxn modelId="{9B4E8E63-DE71-4BAB-9E9E-4DFE84444BE5}" type="presParOf" srcId="{7DE46A5A-3F02-42CA-BC4E-386401E4552F}" destId="{FD7A8D15-4F41-4F2B-B9C3-6277495A3175}" srcOrd="1" destOrd="0" presId="urn:microsoft.com/office/officeart/2005/8/layout/pyramid1"/>
    <dgm:cxn modelId="{41D4A4C3-052D-45C4-93F6-6D5DD572C00A}" type="presParOf" srcId="{CF2E8930-1F17-4DFE-887A-BB3CB12922DA}" destId="{040F116B-B7D4-43C5-9943-3CB955954251}" srcOrd="1" destOrd="0" presId="urn:microsoft.com/office/officeart/2005/8/layout/pyramid1"/>
    <dgm:cxn modelId="{40A57F1C-CFBE-498D-9522-931E29FCDEBE}" type="presParOf" srcId="{040F116B-B7D4-43C5-9943-3CB955954251}" destId="{CD48D422-C4FC-4BAE-8D9E-8B2BCBD211C9}" srcOrd="0" destOrd="0" presId="urn:microsoft.com/office/officeart/2005/8/layout/pyramid1"/>
    <dgm:cxn modelId="{C29F1597-6312-4F0C-B437-B6C112F6608E}" type="presParOf" srcId="{040F116B-B7D4-43C5-9943-3CB955954251}" destId="{8D7A4EDD-CA9E-480F-9625-3D904D1F9232}" srcOrd="1" destOrd="0" presId="urn:microsoft.com/office/officeart/2005/8/layout/pyramid1"/>
    <dgm:cxn modelId="{864036D9-439F-4AD7-9FF9-F198742CEF5D}" type="presParOf" srcId="{CF2E8930-1F17-4DFE-887A-BB3CB12922DA}" destId="{1CCA1D08-A937-4F98-AE45-55C00770F3C8}" srcOrd="2" destOrd="0" presId="urn:microsoft.com/office/officeart/2005/8/layout/pyramid1"/>
    <dgm:cxn modelId="{FA12A6C2-AC1A-4A05-8486-D2F25186111D}" type="presParOf" srcId="{1CCA1D08-A937-4F98-AE45-55C00770F3C8}" destId="{24717043-A106-4E60-8A1E-6CDB268D2D65}" srcOrd="0" destOrd="0" presId="urn:microsoft.com/office/officeart/2005/8/layout/pyramid1"/>
    <dgm:cxn modelId="{1A0F7556-46A1-4B25-BE89-78202F3D38D8}" type="presParOf" srcId="{1CCA1D08-A937-4F98-AE45-55C00770F3C8}" destId="{6FCCA854-4C9C-4A61-A8B3-FC867DF888B2}" srcOrd="1" destOrd="0" presId="urn:microsoft.com/office/officeart/2005/8/layout/pyramid1"/>
    <dgm:cxn modelId="{956C5D80-EF1E-43D2-A406-09B37D27EC13}" type="presParOf" srcId="{CF2E8930-1F17-4DFE-887A-BB3CB12922DA}" destId="{5323D186-BA58-4E1D-A905-9CF2221C00B8}" srcOrd="3" destOrd="0" presId="urn:microsoft.com/office/officeart/2005/8/layout/pyramid1"/>
    <dgm:cxn modelId="{525858B2-384F-4CBF-9EB9-4F16C7919104}" type="presParOf" srcId="{5323D186-BA58-4E1D-A905-9CF2221C00B8}" destId="{860C4838-09CF-4FD1-AEE2-010839411CC4}" srcOrd="0" destOrd="0" presId="urn:microsoft.com/office/officeart/2005/8/layout/pyramid1"/>
    <dgm:cxn modelId="{D526A9ED-C16A-4D86-8437-34A21BF73925}" type="presParOf" srcId="{5323D186-BA58-4E1D-A905-9CF2221C00B8}" destId="{2E083814-1DA6-4FB9-A0CE-4E8675033757}" srcOrd="1" destOrd="0" presId="urn:microsoft.com/office/officeart/2005/8/layout/pyramid1"/>
    <dgm:cxn modelId="{6931776D-3D10-4E46-A954-14BFC70175E4}" type="presParOf" srcId="{CF2E8930-1F17-4DFE-887A-BB3CB12922DA}" destId="{7BC423C3-1ADA-4738-B12B-5812AE708B21}" srcOrd="4" destOrd="0" presId="urn:microsoft.com/office/officeart/2005/8/layout/pyramid1"/>
    <dgm:cxn modelId="{720154CD-7E00-4B73-B1EF-40ED99F204BC}" type="presParOf" srcId="{7BC423C3-1ADA-4738-B12B-5812AE708B21}" destId="{1077A931-1D4A-4D68-A0EE-E06308AF308D}" srcOrd="0" destOrd="0" presId="urn:microsoft.com/office/officeart/2005/8/layout/pyramid1"/>
    <dgm:cxn modelId="{C09339AB-37BD-4541-9195-3E8D09C66B6C}" type="presParOf" srcId="{7BC423C3-1ADA-4738-B12B-5812AE708B21}" destId="{A2421644-9D50-4202-A795-B148E518901D}" srcOrd="1" destOrd="0" presId="urn:microsoft.com/office/officeart/2005/8/layout/pyramid1"/>
    <dgm:cxn modelId="{2279CBDB-27AD-4967-870D-090621CE228D}" type="presParOf" srcId="{CF2E8930-1F17-4DFE-887A-BB3CB12922DA}" destId="{A441EC4D-A37F-44BC-A66C-4D41B5EF65E6}" srcOrd="5" destOrd="0" presId="urn:microsoft.com/office/officeart/2005/8/layout/pyramid1"/>
    <dgm:cxn modelId="{0B488DCC-3660-4FFE-8400-E8961B70D7C7}" type="presParOf" srcId="{A441EC4D-A37F-44BC-A66C-4D41B5EF65E6}" destId="{58685B5E-552A-41E7-A412-529D8BC97E7D}" srcOrd="0" destOrd="0" presId="urn:microsoft.com/office/officeart/2005/8/layout/pyramid1"/>
    <dgm:cxn modelId="{80EB92C9-332A-45EB-8F4C-D7CA3FDE1F2D}" type="presParOf" srcId="{A441EC4D-A37F-44BC-A66C-4D41B5EF65E6}" destId="{BA894524-BD2C-4AA8-AA22-C9A07350518C}" srcOrd="1" destOrd="0" presId="urn:microsoft.com/office/officeart/2005/8/layout/pyramid1"/>
    <dgm:cxn modelId="{01E75391-C1A8-46DD-9705-D4609D501F3A}" type="presParOf" srcId="{CF2E8930-1F17-4DFE-887A-BB3CB12922DA}" destId="{02C76C69-497B-4C7E-A98F-E78602888C11}" srcOrd="6" destOrd="0" presId="urn:microsoft.com/office/officeart/2005/8/layout/pyramid1"/>
    <dgm:cxn modelId="{2E18DB71-4641-4B47-AD46-86762DDE40BE}" type="presParOf" srcId="{02C76C69-497B-4C7E-A98F-E78602888C11}" destId="{25D26827-1467-496F-8CED-1C0B7851E321}" srcOrd="0" destOrd="0" presId="urn:microsoft.com/office/officeart/2005/8/layout/pyramid1"/>
    <dgm:cxn modelId="{05E2E75D-BE82-4EBA-8269-0AA840467950}" type="presParOf" srcId="{02C76C69-497B-4C7E-A98F-E78602888C11}" destId="{48D47425-EAAC-4CA3-BF0A-581841BA42CA}"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39C400-ECF5-4AC2-9676-F4BBE9136D94}">
      <dsp:nvSpPr>
        <dsp:cNvPr id="0" name=""/>
        <dsp:cNvSpPr/>
      </dsp:nvSpPr>
      <dsp:spPr>
        <a:xfrm>
          <a:off x="2486024" y="0"/>
          <a:ext cx="828675" cy="690674"/>
        </a:xfrm>
        <a:prstGeom prst="trapezoid">
          <a:avLst>
            <a:gd name="adj" fmla="val 5999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486024" y="0"/>
        <a:ext cx="828675" cy="690674"/>
      </dsp:txXfrm>
    </dsp:sp>
    <dsp:sp modelId="{CD48D422-C4FC-4BAE-8D9E-8B2BCBD211C9}">
      <dsp:nvSpPr>
        <dsp:cNvPr id="0" name=""/>
        <dsp:cNvSpPr/>
      </dsp:nvSpPr>
      <dsp:spPr>
        <a:xfrm>
          <a:off x="2071687" y="690674"/>
          <a:ext cx="1657350" cy="690674"/>
        </a:xfrm>
        <a:prstGeom prst="trapezoid">
          <a:avLst>
            <a:gd name="adj" fmla="val 5999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361723" y="690674"/>
        <a:ext cx="1077277" cy="690674"/>
      </dsp:txXfrm>
    </dsp:sp>
    <dsp:sp modelId="{24717043-A106-4E60-8A1E-6CDB268D2D65}">
      <dsp:nvSpPr>
        <dsp:cNvPr id="0" name=""/>
        <dsp:cNvSpPr/>
      </dsp:nvSpPr>
      <dsp:spPr>
        <a:xfrm>
          <a:off x="1657350" y="1381349"/>
          <a:ext cx="2486024" cy="690674"/>
        </a:xfrm>
        <a:prstGeom prst="trapezoid">
          <a:avLst>
            <a:gd name="adj" fmla="val 5999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092404" y="1381349"/>
        <a:ext cx="1615916" cy="690674"/>
      </dsp:txXfrm>
    </dsp:sp>
    <dsp:sp modelId="{860C4838-09CF-4FD1-AEE2-010839411CC4}">
      <dsp:nvSpPr>
        <dsp:cNvPr id="0" name=""/>
        <dsp:cNvSpPr/>
      </dsp:nvSpPr>
      <dsp:spPr>
        <a:xfrm>
          <a:off x="1243012" y="2072023"/>
          <a:ext cx="3314700" cy="690674"/>
        </a:xfrm>
        <a:prstGeom prst="trapezoid">
          <a:avLst>
            <a:gd name="adj" fmla="val 5999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823084" y="2072023"/>
        <a:ext cx="2154555" cy="690674"/>
      </dsp:txXfrm>
    </dsp:sp>
    <dsp:sp modelId="{1077A931-1D4A-4D68-A0EE-E06308AF308D}">
      <dsp:nvSpPr>
        <dsp:cNvPr id="0" name=""/>
        <dsp:cNvSpPr/>
      </dsp:nvSpPr>
      <dsp:spPr>
        <a:xfrm>
          <a:off x="828674" y="2762698"/>
          <a:ext cx="4143375" cy="690674"/>
        </a:xfrm>
        <a:prstGeom prst="trapezoid">
          <a:avLst>
            <a:gd name="adj" fmla="val 5999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553765" y="2762698"/>
        <a:ext cx="2693193" cy="690674"/>
      </dsp:txXfrm>
    </dsp:sp>
    <dsp:sp modelId="{58685B5E-552A-41E7-A412-529D8BC97E7D}">
      <dsp:nvSpPr>
        <dsp:cNvPr id="0" name=""/>
        <dsp:cNvSpPr/>
      </dsp:nvSpPr>
      <dsp:spPr>
        <a:xfrm>
          <a:off x="414337" y="3453372"/>
          <a:ext cx="4972050" cy="690674"/>
        </a:xfrm>
        <a:prstGeom prst="trapezoid">
          <a:avLst>
            <a:gd name="adj" fmla="val 5999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284446" y="3453372"/>
        <a:ext cx="3231832" cy="690674"/>
      </dsp:txXfrm>
    </dsp:sp>
    <dsp:sp modelId="{25D26827-1467-496F-8CED-1C0B7851E321}">
      <dsp:nvSpPr>
        <dsp:cNvPr id="0" name=""/>
        <dsp:cNvSpPr/>
      </dsp:nvSpPr>
      <dsp:spPr>
        <a:xfrm>
          <a:off x="0" y="4144047"/>
          <a:ext cx="5800725" cy="690674"/>
        </a:xfrm>
        <a:prstGeom prst="trapezoid">
          <a:avLst>
            <a:gd name="adj" fmla="val 5999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015126" y="4144047"/>
        <a:ext cx="3770471" cy="69067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6086</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Ferguson</dc:creator>
  <cp:keywords/>
  <dc:description/>
  <cp:lastModifiedBy>David Ferguson</cp:lastModifiedBy>
  <cp:revision>4</cp:revision>
  <dcterms:created xsi:type="dcterms:W3CDTF">2020-06-03T17:58:00Z</dcterms:created>
  <dcterms:modified xsi:type="dcterms:W3CDTF">2020-06-03T18:08:00Z</dcterms:modified>
</cp:coreProperties>
</file>