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641330D">
      <w:pPr>
        <w:pStyle w:val="711"/>
        <w:pBdr/>
        <w:spacing/>
        <w:ind/>
        <w:rPr>
          <w:b/>
          <w:bCs/>
          <w14:ligatures w14:val="none"/>
        </w:rPr>
      </w:pPr>
      <w:r>
        <w:rPr>
          <w:b/>
          <w:bCs/>
        </w:rPr>
        <w:t xml:space="preserve">Отвъд екрана: Защо дигиталното приобщаване е нещо повече от един лаптоп</w:t>
      </w:r>
      <w:r>
        <w:rPr>
          <w:b/>
          <w:bCs/>
        </w:rPr>
      </w:r>
      <w:r>
        <w:rPr>
          <w:rFonts w:ascii="Arial" w:hAnsi="Arial" w:eastAsia="Arial" w:cs="Arial"/>
          <w:color w:val="000000"/>
          <w:sz w:val="24"/>
        </w:rPr>
      </w:r>
      <w:r/>
      <w:r>
        <w:rPr>
          <w:b/>
          <w:bCs/>
        </w:rPr>
      </w:r>
    </w:p>
    <w:p w14:paraId="74AF614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Когато говорим за преодоляване на дигиталното неравенство, разговорът обикновено започва и често завършва с хардуера. Имаме склонност да измерваме напредъка според това колко таблета са раздадени или колко бърз е Wi-Fi-ът в класната стая. Но както посочва </w:t>
      </w:r>
      <w:r>
        <w:rPr>
          <w:rFonts w:ascii="Arial" w:hAnsi="Arial" w:eastAsia="Arial" w:cs="Arial"/>
          <w:color w:val="000000"/>
          <w:sz w:val="24"/>
        </w:rPr>
        <w:t xml:space="preserve">проектът In-DigiT (Inclusive and Responsible Digitalisation in Training), един лаптоп сам по себе си не решава всичко. Без правилния подход технологията може да създаде нови бариери, вместо да премахне старите.</w:t>
      </w:r>
      <w:r/>
      <w:r>
        <w:rPr>
          <w:rFonts w:ascii="Arial" w:hAnsi="Arial" w:eastAsia="Arial" w:cs="Arial"/>
          <w:color w:val="000000"/>
          <w:sz w:val="24"/>
        </w:rPr>
        <w:t xml:space="preserve"> </w:t>
      </w:r>
      <w:r/>
      <w:r>
        <w:rPr>
          <w:rFonts w:ascii="Arial" w:hAnsi="Arial" w:eastAsia="Arial" w:cs="Arial"/>
          <w:sz w:val="24"/>
        </w:rPr>
      </w:r>
    </w:p>
    <w:p w14:paraId="11BB422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Истинската дигитална интеграция не се състои само в притежаването на устройство. Тя се състои в създаването на възможности за всеки. За да се случи това, трябва да се фокусираме върху две ключови качества от проекта In-DigiT: да бъдем включващи и да даваме</w:t>
      </w:r>
      <w:r>
        <w:rPr>
          <w:rFonts w:ascii="Arial" w:hAnsi="Arial" w:eastAsia="Arial" w:cs="Arial"/>
          <w:color w:val="000000"/>
          <w:sz w:val="24"/>
        </w:rPr>
        <w:t xml:space="preserve"> възможност.</w:t>
      </w:r>
      <w:r/>
      <w:r>
        <w:rPr>
          <w:rFonts w:ascii="Arial" w:hAnsi="Arial" w:eastAsia="Arial" w:cs="Arial"/>
          <w:color w:val="000000"/>
          <w:sz w:val="24"/>
        </w:rPr>
        <w:t xml:space="preserve"> </w:t>
      </w:r>
      <w:r/>
      <w:r>
        <w:rPr>
          <w:rFonts w:ascii="Arial" w:hAnsi="Arial" w:eastAsia="Arial" w:cs="Arial"/>
          <w:sz w:val="24"/>
        </w:rPr>
      </w:r>
    </w:p>
    <w:p w14:paraId="00ED8F8E"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  <w:sz w:val="24"/>
        </w:rPr>
        <w:t xml:space="preserve">Достъпност: разликата между достъп и участие</w:t>
      </w:r>
      <w:r>
        <w:rPr>
          <w:rFonts w:ascii="Arial" w:hAnsi="Arial" w:eastAsia="Arial" w:cs="Arial"/>
          <w:b/>
          <w:bCs/>
          <w:color w:val="000000"/>
          <w:sz w:val="24"/>
        </w:rPr>
        <w:t xml:space="preserve"> </w:t>
      </w:r>
      <w:r>
        <w:rPr>
          <w:b/>
          <w:bCs/>
        </w:rPr>
      </w:r>
      <w:r>
        <w:rPr>
          <w:rFonts w:ascii="Arial" w:hAnsi="Arial" w:eastAsia="Arial" w:cs="Arial"/>
          <w:b/>
          <w:bCs/>
          <w:sz w:val="24"/>
        </w:rPr>
      </w:r>
    </w:p>
    <w:p w14:paraId="2E8D545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Дигиталното приобщаване започва с достъпността, която е част от приобщаването. Ако платформата за обучение не работи с електронни четци за учащи с увреждания на зрението или ако интерфейсът е толкова претрупан, че обърква някого с невроразнообразие, този у</w:t>
      </w:r>
      <w:r>
        <w:rPr>
          <w:rFonts w:ascii="Arial" w:hAnsi="Arial" w:eastAsia="Arial" w:cs="Arial"/>
          <w:color w:val="000000"/>
          <w:sz w:val="24"/>
        </w:rPr>
        <w:t xml:space="preserve">чащ остава изключен, независимо колко скъп е лаптопът му.</w:t>
      </w:r>
      <w:r/>
    </w:p>
    <w:p w14:paraId="33734AC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Да бъдеш приобщаващозначава да проектираш за хора, които често биват пренебрегвани. Това означава да се фокусираш върху:</w:t>
      </w:r>
      <w:r/>
      <w:r>
        <w:rPr>
          <w:rFonts w:ascii="Arial" w:hAnsi="Arial" w:eastAsia="Arial" w:cs="Arial"/>
          <w:color w:val="000000"/>
          <w:sz w:val="24"/>
        </w:rPr>
        <w:t xml:space="preserve"> </w:t>
      </w:r>
      <w:r/>
      <w:r>
        <w:rPr>
          <w:rFonts w:ascii="Arial" w:hAnsi="Arial" w:eastAsia="Arial" w:cs="Arial"/>
          <w:sz w:val="24"/>
        </w:rPr>
      </w:r>
    </w:p>
    <w:p w14:paraId="5E2CD27E">
      <w:pPr>
        <w:pStyle w:val="88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</w:rPr>
        <w:t xml:space="preserve">Универсален дизайн: Инструменти, които могат да се използват от всеки, независимо от физическите или когнитивните способности.</w:t>
      </w:r>
      <w:r>
        <w:rPr>
          <w:rFonts w:ascii="Arial" w:hAnsi="Arial" w:eastAsia="Arial" w:cs="Arial"/>
          <w:sz w:val="24"/>
        </w:rPr>
      </w:r>
    </w:p>
    <w:p w14:paraId="196E5116">
      <w:pPr>
        <w:pStyle w:val="88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Когнитивна лекота: Прости, лесни за използване оформления, които не изискват специални технически умения за навигация.</w:t>
      </w:r>
      <w:r>
        <w:rPr>
          <w:rFonts w:ascii="Arial" w:hAnsi="Arial" w:eastAsia="Arial" w:cs="Arial"/>
          <w:sz w:val="24"/>
        </w:rPr>
      </w:r>
      <w:r/>
    </w:p>
    <w:p w14:paraId="5DC96F0B">
      <w:pPr>
        <w:pStyle w:val="88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</w:rPr>
        <w:t xml:space="preserve">Език и грамотност: Осъзнаване на факта, че за много хора технологичните термини изглеждат непознати и трудни за разбиране.</w:t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 </w:t>
      </w:r>
      <w:r>
        <w:rPr>
          <w:rFonts w:ascii="Arial" w:hAnsi="Arial" w:eastAsia="Arial" w:cs="Arial"/>
          <w:sz w:val="24"/>
        </w:rPr>
      </w:r>
      <w:r/>
      <w:r>
        <w:rPr>
          <w:rFonts w:ascii="Arial" w:hAnsi="Arial" w:eastAsia="Arial" w:cs="Arial"/>
          <w:color w:val="000000"/>
          <w:sz w:val="24"/>
          <w:szCs w:val="24"/>
        </w:rPr>
      </w:r>
    </w:p>
    <w:p w14:paraId="41F17EF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/>
          <w:bCs/>
        </w:rPr>
      </w:pPr>
      <w:r>
        <w:rPr>
          <w:rFonts w:ascii="Arial" w:hAnsi="Arial" w:eastAsia="Arial" w:cs="Arial"/>
          <w:color w:val="000000"/>
          <w:sz w:val="24"/>
        </w:rPr>
        <w:t xml:space="preserve">     </w:t>
      </w:r>
      <w:r>
        <w:rPr>
          <w:rFonts w:ascii="Arial" w:hAnsi="Arial" w:eastAsia="Arial" w:cs="Arial"/>
          <w:b/>
          <w:bCs/>
          <w:color w:val="000000"/>
          <w:sz w:val="24"/>
        </w:rPr>
        <w:t xml:space="preserve">  2. Дигитална грамотност: Подпомагане на всички поколения</w:t>
      </w:r>
      <w:r>
        <w:rPr>
          <w:rFonts w:ascii="Arial" w:hAnsi="Arial" w:eastAsia="Arial" w:cs="Arial"/>
          <w:b/>
          <w:bCs/>
          <w:color w:val="000000"/>
          <w:sz w:val="24"/>
        </w:rPr>
        <w:t xml:space="preserve"> </w:t>
      </w:r>
      <w:r>
        <w:rPr>
          <w:b/>
          <w:bCs/>
        </w:rPr>
      </w:r>
      <w:r>
        <w:rPr>
          <w:rFonts w:ascii="Arial" w:hAnsi="Arial" w:eastAsia="Arial" w:cs="Arial"/>
          <w:b/>
          <w:bCs/>
          <w:sz w:val="24"/>
        </w:rPr>
      </w:r>
    </w:p>
    <w:p w14:paraId="401945F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Качеството „да се дава възможност“ в рамката In-DigiT показва, че технологията трябва да помага на всеки човек. Това обаче е възможно само ако хората притежават уменията да я използват.</w:t>
      </w:r>
      <w:r/>
    </w:p>
    <w:p w14:paraId="452898E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Често погрешно смятаме, че тези, които са се родили с технологиите, знаят всичко за тях, докато по-възрастните поколения винаги изостават. В действителност и двете групи се сблъскват с предизвикателства. Млад студент може да използва социалните медии с лек</w:t>
      </w:r>
      <w:r>
        <w:rPr>
          <w:rFonts w:ascii="Arial" w:hAnsi="Arial" w:eastAsia="Arial" w:cs="Arial"/>
          <w:color w:val="000000"/>
          <w:sz w:val="24"/>
        </w:rPr>
        <w:t xml:space="preserve">ота, но да има затруднения да прецени дали даден източник е надежден. По-възрастен човек може да е много опитен, но да се чувства затруднен, когато софтуерът се промени. Дигиталното приобщаване означава да се предлага постоянна подкрепа за всички възрасти,</w:t>
      </w:r>
      <w:r>
        <w:rPr>
          <w:rFonts w:ascii="Arial" w:hAnsi="Arial" w:eastAsia="Arial" w:cs="Arial"/>
          <w:color w:val="000000"/>
          <w:sz w:val="24"/>
        </w:rPr>
        <w:t xml:space="preserve"> като се набляга на разбирането как работят инструментите, а не само къде да се кликне.</w:t>
      </w:r>
      <w:r/>
      <w:r>
        <w:rPr>
          <w:rFonts w:ascii="Arial" w:hAnsi="Arial" w:eastAsia="Arial" w:cs="Arial"/>
          <w:color w:val="000000"/>
          <w:sz w:val="24"/>
        </w:rPr>
        <w:t xml:space="preserve"> </w:t>
      </w:r>
      <w:r/>
      <w:r>
        <w:rPr>
          <w:rFonts w:ascii="Arial" w:hAnsi="Arial" w:eastAsia="Arial" w:cs="Arial"/>
          <w:sz w:val="24"/>
        </w:rPr>
      </w:r>
    </w:p>
    <w:p w14:paraId="106FA15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0" w:left="720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  <w:sz w:val="24"/>
        </w:rPr>
        <w:t xml:space="preserve">3. Икономични инструменти за справедлив достъп</w:t>
      </w:r>
      <w:r>
        <w:rPr>
          <w:rFonts w:ascii="Arial" w:hAnsi="Arial" w:eastAsia="Arial" w:cs="Arial"/>
          <w:b/>
          <w:bCs/>
          <w:color w:val="000000"/>
          <w:sz w:val="24"/>
        </w:rPr>
        <w:t xml:space="preserve"> </w:t>
      </w:r>
      <w:r>
        <w:rPr>
          <w:b/>
          <w:bCs/>
        </w:rPr>
      </w:r>
      <w:r>
        <w:rPr>
          <w:rFonts w:ascii="Arial" w:hAnsi="Arial" w:eastAsia="Arial" w:cs="Arial"/>
          <w:b/>
          <w:bCs/>
          <w:sz w:val="24"/>
        </w:rPr>
      </w:r>
    </w:p>
    <w:p w14:paraId="544037D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За да дадат възможност на всички, дигиталните инструменти трябва да са прости и достъпни. Ако даден обучителен модул работи само с най-новите устройства и бърз интернет, той изключва хора. Един отговорен обучителен център трябва да се запита:</w:t>
      </w:r>
      <w:r/>
      <w:r>
        <w:rPr>
          <w:rFonts w:ascii="Arial" w:hAnsi="Arial" w:eastAsia="Arial" w:cs="Arial"/>
          <w:color w:val="000000"/>
          <w:sz w:val="24"/>
        </w:rPr>
        <w:t xml:space="preserve"> </w:t>
      </w:r>
      <w:r/>
      <w:r>
        <w:rPr>
          <w:rFonts w:ascii="Arial" w:hAnsi="Arial" w:eastAsia="Arial" w:cs="Arial"/>
          <w:sz w:val="24"/>
        </w:rPr>
      </w:r>
    </w:p>
    <w:p w14:paraId="7B0B8802"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Arial" w:hAnsi="Arial" w:eastAsia="Arial" w:cs="Arial"/>
          <w:color w:val="000000"/>
          <w:sz w:val="24"/>
        </w:rPr>
        <w:t xml:space="preserve">Могат ли хората да го използват на по-стар смартфон? Работи ли офлайн за тези с ненадежден интернет? Достатъчно ли е силна защитата на личните данни, за да предпази потребителите?</w:t>
      </w:r>
      <w:r>
        <w:rPr>
          <w:rFonts w:ascii="Arial" w:hAnsi="Arial" w:eastAsia="Arial" w:cs="Arial"/>
          <w:color w:val="000000"/>
          <w:sz w:val="24"/>
        </w:rPr>
        <w:t xml:space="preserve"> </w:t>
      </w:r>
      <w:r/>
      <w:r>
        <w:rPr>
          <w:rFonts w:ascii="Arial" w:hAnsi="Arial" w:eastAsia="Arial" w:cs="Arial"/>
          <w:sz w:val="24"/>
        </w:rPr>
      </w:r>
    </w:p>
    <w:p w14:paraId="3313F0A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  <w:sz w:val="24"/>
        </w:rPr>
        <w:t xml:space="preserve">Пътят напред с In-DigiT</w:t>
      </w:r>
      <w:r>
        <w:rPr>
          <w:rFonts w:ascii="Arial" w:hAnsi="Arial" w:eastAsia="Arial" w:cs="Arial"/>
          <w:b/>
          <w:bCs/>
          <w:color w:val="000000"/>
          <w:sz w:val="24"/>
        </w:rPr>
        <w:t xml:space="preserve"> </w:t>
      </w:r>
      <w:r>
        <w:rPr>
          <w:b/>
          <w:bCs/>
        </w:rPr>
      </w:r>
      <w:r>
        <w:rPr>
          <w:rFonts w:ascii="Arial" w:hAnsi="Arial" w:eastAsia="Arial" w:cs="Arial"/>
          <w:b/>
          <w:bCs/>
          <w:sz w:val="24"/>
        </w:rPr>
      </w:r>
    </w:p>
    <w:p w14:paraId="215D231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Проектът In-DigiT има за цел да подпомогне учебните центрове да внесат промени, които са както ориентирани към хората, така и от технически характер. Чрез прилагането на 7-те качества – от „демократичност“ до „икономичност“ – ние гарантираме, че дигиталнит</w:t>
      </w:r>
      <w:r>
        <w:rPr>
          <w:rFonts w:ascii="Arial" w:hAnsi="Arial" w:eastAsia="Arial" w:cs="Arial"/>
          <w:color w:val="000000"/>
          <w:sz w:val="24"/>
        </w:rPr>
        <w:t xml:space="preserve">е инструменти подпомагат учащия, а не обратното.</w:t>
      </w:r>
      <w:r/>
    </w:p>
    <w:p w14:paraId="72C9659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000000"/>
          <w:sz w:val="24"/>
        </w:rPr>
        <w:t xml:space="preserve">Готови ли сте да направите следващата стъпка? Проверете дали вашият център за обучение е наистина приобщаващ, като изтеглите нашата </w:t>
      </w:r>
      <w:hyperlink r:id="rId9" w:tooltip="https://indigit.sustainable-digital-learning.com/#booklet" w:history="1">
        <w:r>
          <w:rPr>
            <w:rStyle w:val="867"/>
            <w:rFonts w:ascii="Arial" w:hAnsi="Arial" w:eastAsia="Arial" w:cs="Arial"/>
            <w:color w:val="467886"/>
            <w:sz w:val="24"/>
            <w:u w:val="single"/>
          </w:rPr>
          <w:t xml:space="preserve">брошура с добри практики</w:t>
        </w:r>
      </w:hyperlink>
      <w:r>
        <w:rPr>
          <w:rFonts w:ascii="Arial" w:hAnsi="Arial" w:eastAsia="Arial" w:cs="Arial"/>
          <w:color w:val="000000"/>
          <w:sz w:val="24"/>
        </w:rPr>
        <w:t xml:space="preserve"> или изпробвате </w:t>
      </w:r>
      <w:hyperlink r:id="rId10" w:tooltip="https://indigit.sustainable-digital-learning.com/selfassessment.html" w:history="1">
        <w:r>
          <w:rPr>
            <w:rStyle w:val="867"/>
            <w:rFonts w:ascii="Arial" w:hAnsi="Arial" w:eastAsia="Arial" w:cs="Arial"/>
            <w:sz w:val="24"/>
          </w:rPr>
          <w:t xml:space="preserve">инструмента ни за самооценка</w:t>
        </w:r>
      </w:hyperlink>
      <w:r>
        <w:rPr>
          <w:rFonts w:ascii="Arial" w:hAnsi="Arial" w:eastAsia="Arial" w:cs="Arial"/>
          <w:color w:val="000000"/>
          <w:sz w:val="24"/>
        </w:rPr>
        <w:t xml:space="preserve"> на уебсайта на </w:t>
      </w:r>
      <w:hyperlink r:id="rId11" w:tooltip="https://indigit.sustainable-digital-learning.com/index.html" w:history="1">
        <w:r>
          <w:rPr>
            <w:rStyle w:val="867"/>
            <w:rFonts w:ascii="Arial" w:hAnsi="Arial" w:eastAsia="Arial" w:cs="Arial"/>
            <w:sz w:val="24"/>
          </w:rPr>
          <w:t xml:space="preserve">In-DigiT.</w:t>
        </w:r>
      </w:hyperlink>
      <w:r>
        <w:rPr>
          <w:rFonts w:ascii="Arial" w:hAnsi="Arial" w:eastAsia="Arial" w:cs="Arial"/>
          <w:color w:val="000000"/>
          <w:sz w:val="24"/>
        </w:rPr>
        <w:t xml:space="preserve"> </w:t>
      </w:r>
      <w:r/>
    </w:p>
    <w:p>
      <w:pPr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85C2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1">
    <w:nsid w:val="2BC3A28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38D28DD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890"/>
    <w:uiPriority w:val="99"/>
    <w:semiHidden/>
    <w:pPr>
      <w:pBdr/>
      <w:spacing/>
      <w:ind/>
    </w:pPr>
    <w:rPr>
      <w:color w:val="666666"/>
    </w:rPr>
  </w:style>
  <w:style w:type="character" w:styleId="701">
    <w:name w:val="Intense Emphasis"/>
    <w:basedOn w:val="8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2">
    <w:name w:val="Intense Reference"/>
    <w:basedOn w:val="8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3">
    <w:name w:val="Subtle Emphasis"/>
    <w:basedOn w:val="8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4">
    <w:name w:val="Emphasis"/>
    <w:basedOn w:val="890"/>
    <w:uiPriority w:val="20"/>
    <w:qFormat/>
    <w:pPr>
      <w:pBdr/>
      <w:spacing/>
      <w:ind/>
    </w:pPr>
    <w:rPr>
      <w:i/>
      <w:iCs/>
    </w:rPr>
  </w:style>
  <w:style w:type="character" w:styleId="705">
    <w:name w:val="Strong"/>
    <w:basedOn w:val="890"/>
    <w:uiPriority w:val="22"/>
    <w:qFormat/>
    <w:pPr>
      <w:pBdr/>
      <w:spacing/>
      <w:ind/>
    </w:pPr>
    <w:rPr>
      <w:b/>
      <w:bCs/>
    </w:rPr>
  </w:style>
  <w:style w:type="character" w:styleId="706">
    <w:name w:val="Subtle Reference"/>
    <w:basedOn w:val="8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07">
    <w:name w:val="Book Title"/>
    <w:basedOn w:val="89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08">
    <w:name w:val="FollowedHyperlink"/>
    <w:basedOn w:val="8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09">
    <w:name w:val="Heading 1"/>
    <w:basedOn w:val="885"/>
    <w:next w:val="885"/>
    <w:link w:val="71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0">
    <w:name w:val="Heading 1 Char"/>
    <w:link w:val="70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885"/>
    <w:next w:val="885"/>
    <w:link w:val="71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2">
    <w:name w:val="Heading 2 Char"/>
    <w:link w:val="71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3">
    <w:name w:val="Heading 3"/>
    <w:basedOn w:val="885"/>
    <w:next w:val="885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4">
    <w:name w:val="Heading 3 Char"/>
    <w:link w:val="71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885"/>
    <w:next w:val="885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link w:val="71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885"/>
    <w:next w:val="885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8">
    <w:name w:val="Heading 5 Char"/>
    <w:link w:val="7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85"/>
    <w:next w:val="885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link w:val="71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85"/>
    <w:next w:val="885"/>
    <w:link w:val="72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link w:val="7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85"/>
    <w:next w:val="885"/>
    <w:link w:val="72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link w:val="72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85"/>
    <w:next w:val="885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link w:val="72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7">
    <w:name w:val="Title"/>
    <w:basedOn w:val="885"/>
    <w:next w:val="885"/>
    <w:link w:val="72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8">
    <w:name w:val="Title Char"/>
    <w:link w:val="727"/>
    <w:uiPriority w:val="10"/>
    <w:pPr>
      <w:pBdr/>
      <w:spacing/>
      <w:ind/>
    </w:pPr>
    <w:rPr>
      <w:sz w:val="48"/>
      <w:szCs w:val="48"/>
    </w:rPr>
  </w:style>
  <w:style w:type="paragraph" w:styleId="729">
    <w:name w:val="Subtitle"/>
    <w:basedOn w:val="885"/>
    <w:next w:val="885"/>
    <w:link w:val="73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0">
    <w:name w:val="Subtitle Char"/>
    <w:link w:val="729"/>
    <w:uiPriority w:val="11"/>
    <w:pPr>
      <w:pBdr/>
      <w:spacing/>
      <w:ind/>
    </w:pPr>
    <w:rPr>
      <w:sz w:val="24"/>
      <w:szCs w:val="24"/>
    </w:rPr>
  </w:style>
  <w:style w:type="paragraph" w:styleId="731">
    <w:name w:val="Quote"/>
    <w:basedOn w:val="885"/>
    <w:next w:val="885"/>
    <w:link w:val="732"/>
    <w:uiPriority w:val="29"/>
    <w:qFormat/>
    <w:pPr>
      <w:pBdr/>
      <w:spacing/>
      <w:ind w:right="720" w:left="720"/>
    </w:pPr>
    <w:rPr>
      <w:i/>
    </w:rPr>
  </w:style>
  <w:style w:type="character" w:styleId="732">
    <w:name w:val="Quote Char"/>
    <w:link w:val="731"/>
    <w:uiPriority w:val="29"/>
    <w:pPr>
      <w:pBdr/>
      <w:spacing/>
      <w:ind/>
    </w:pPr>
    <w:rPr>
      <w:i/>
    </w:rPr>
  </w:style>
  <w:style w:type="paragraph" w:styleId="733">
    <w:name w:val="Intense Quote"/>
    <w:basedOn w:val="885"/>
    <w:next w:val="885"/>
    <w:link w:val="73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4">
    <w:name w:val="Intense Quote Char"/>
    <w:link w:val="733"/>
    <w:uiPriority w:val="30"/>
    <w:pPr>
      <w:pBdr/>
      <w:spacing/>
      <w:ind/>
    </w:pPr>
    <w:rPr>
      <w:i/>
    </w:rPr>
  </w:style>
  <w:style w:type="paragraph" w:styleId="735">
    <w:name w:val="Header"/>
    <w:basedOn w:val="885"/>
    <w:link w:val="73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6">
    <w:name w:val="Header Char"/>
    <w:link w:val="735"/>
    <w:uiPriority w:val="99"/>
    <w:pPr>
      <w:pBdr/>
      <w:spacing/>
      <w:ind/>
    </w:pPr>
  </w:style>
  <w:style w:type="paragraph" w:styleId="737">
    <w:name w:val="Footer"/>
    <w:basedOn w:val="885"/>
    <w:link w:val="74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8">
    <w:name w:val="Footer Char"/>
    <w:link w:val="737"/>
    <w:uiPriority w:val="99"/>
    <w:pPr>
      <w:pBdr/>
      <w:spacing/>
      <w:ind/>
    </w:pPr>
  </w:style>
  <w:style w:type="paragraph" w:styleId="739">
    <w:name w:val="Caption"/>
    <w:basedOn w:val="885"/>
    <w:next w:val="88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739"/>
    <w:link w:val="737"/>
    <w:uiPriority w:val="99"/>
    <w:pPr>
      <w:pBdr/>
      <w:spacing/>
      <w:ind/>
    </w:pPr>
  </w:style>
  <w:style w:type="table" w:styleId="741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8">
    <w:name w:val="footnote text"/>
    <w:basedOn w:val="885"/>
    <w:link w:val="86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9">
    <w:name w:val="Footnote Text Char"/>
    <w:link w:val="868"/>
    <w:uiPriority w:val="99"/>
    <w:pPr>
      <w:pBdr/>
      <w:spacing/>
      <w:ind/>
    </w:pPr>
    <w:rPr>
      <w:sz w:val="18"/>
    </w:rPr>
  </w:style>
  <w:style w:type="character" w:styleId="87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5"/>
    <w:link w:val="87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2">
    <w:name w:val="Endnote Text Char"/>
    <w:link w:val="871"/>
    <w:uiPriority w:val="99"/>
    <w:pPr>
      <w:pBdr/>
      <w:spacing/>
      <w:ind/>
    </w:pPr>
    <w:rPr>
      <w:sz w:val="20"/>
    </w:rPr>
  </w:style>
  <w:style w:type="character" w:styleId="87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pBdr/>
      <w:spacing w:after="57"/>
      <w:ind w:right="0" w:firstLine="0" w:left="0"/>
    </w:pPr>
  </w:style>
  <w:style w:type="paragraph" w:styleId="875">
    <w:name w:val="toc 2"/>
    <w:basedOn w:val="885"/>
    <w:next w:val="885"/>
    <w:uiPriority w:val="39"/>
    <w:unhideWhenUsed/>
    <w:pPr>
      <w:pBdr/>
      <w:spacing w:after="57"/>
      <w:ind w:right="0" w:firstLine="0" w:left="283"/>
    </w:pPr>
  </w:style>
  <w:style w:type="paragraph" w:styleId="876">
    <w:name w:val="toc 3"/>
    <w:basedOn w:val="885"/>
    <w:next w:val="885"/>
    <w:uiPriority w:val="39"/>
    <w:unhideWhenUsed/>
    <w:pPr>
      <w:pBdr/>
      <w:spacing w:after="57"/>
      <w:ind w:right="0" w:firstLine="0" w:left="567"/>
    </w:pPr>
  </w:style>
  <w:style w:type="paragraph" w:styleId="877">
    <w:name w:val="toc 4"/>
    <w:basedOn w:val="885"/>
    <w:next w:val="885"/>
    <w:uiPriority w:val="39"/>
    <w:unhideWhenUsed/>
    <w:pPr>
      <w:pBdr/>
      <w:spacing w:after="57"/>
      <w:ind w:right="0" w:firstLine="0" w:left="850"/>
    </w:pPr>
  </w:style>
  <w:style w:type="paragraph" w:styleId="878">
    <w:name w:val="toc 5"/>
    <w:basedOn w:val="885"/>
    <w:next w:val="885"/>
    <w:uiPriority w:val="39"/>
    <w:unhideWhenUsed/>
    <w:pPr>
      <w:pBdr/>
      <w:spacing w:after="57"/>
      <w:ind w:right="0" w:firstLine="0" w:left="1134"/>
    </w:pPr>
  </w:style>
  <w:style w:type="paragraph" w:styleId="879">
    <w:name w:val="toc 6"/>
    <w:basedOn w:val="885"/>
    <w:next w:val="885"/>
    <w:uiPriority w:val="39"/>
    <w:unhideWhenUsed/>
    <w:pPr>
      <w:pBdr/>
      <w:spacing w:after="57"/>
      <w:ind w:right="0" w:firstLine="0" w:left="1417"/>
    </w:pPr>
  </w:style>
  <w:style w:type="paragraph" w:styleId="880">
    <w:name w:val="toc 7"/>
    <w:basedOn w:val="885"/>
    <w:next w:val="885"/>
    <w:uiPriority w:val="39"/>
    <w:unhideWhenUsed/>
    <w:pPr>
      <w:pBdr/>
      <w:spacing w:after="57"/>
      <w:ind w:right="0" w:firstLine="0" w:left="1701"/>
    </w:pPr>
  </w:style>
  <w:style w:type="paragraph" w:styleId="881">
    <w:name w:val="toc 8"/>
    <w:basedOn w:val="885"/>
    <w:next w:val="885"/>
    <w:uiPriority w:val="39"/>
    <w:unhideWhenUsed/>
    <w:pPr>
      <w:pBdr/>
      <w:spacing w:after="57"/>
      <w:ind w:right="0" w:firstLine="0" w:left="1984"/>
    </w:pPr>
  </w:style>
  <w:style w:type="paragraph" w:styleId="882">
    <w:name w:val="toc 9"/>
    <w:basedOn w:val="885"/>
    <w:next w:val="885"/>
    <w:uiPriority w:val="39"/>
    <w:unhideWhenUsed/>
    <w:pPr>
      <w:pBdr/>
      <w:spacing w:after="57"/>
      <w:ind w:right="0" w:firstLine="0" w:left="2268"/>
    </w:p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paragraph" w:styleId="888">
    <w:name w:val="No Spacing"/>
    <w:basedOn w:val="885"/>
    <w:uiPriority w:val="1"/>
    <w:qFormat/>
    <w:pPr>
      <w:pBdr/>
      <w:spacing w:after="0" w:line="240" w:lineRule="auto"/>
      <w:ind/>
    </w:pPr>
  </w:style>
  <w:style w:type="paragraph" w:styleId="889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90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indigit.sustainable-digital-learning.com/#booklet" TargetMode="External"/><Relationship Id="rId10" Type="http://schemas.openxmlformats.org/officeDocument/2006/relationships/hyperlink" Target="https://indigit.sustainable-digital-learning.com/selfassessment.html" TargetMode="External"/><Relationship Id="rId11" Type="http://schemas.openxmlformats.org/officeDocument/2006/relationships/hyperlink" Target="https://indigit.sustainable-digital-learning.com/index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onlyoffice/9.3.1.10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Marinela  Koleva</cp:lastModifiedBy>
  <cp:revision>4</cp:revision>
  <dcterms:modified xsi:type="dcterms:W3CDTF">2026-03-17T09:24:04Z</dcterms:modified>
</cp:coreProperties>
</file>