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29131C5E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160" w:before="0" w:line="328" w:lineRule="auto"/>
        <w:ind w:right="0" w:firstLine="0" w:left="0"/>
        <w:jc w:val="center"/>
        <w:rPr>
          <w:sz w:val="30"/>
          <w:szCs w:val="30"/>
        </w:rPr>
      </w:pPr>
      <w:r>
        <w:rPr>
          <w:rFonts w:ascii="Arial" w:hAnsi="Arial" w:eastAsia="Arial" w:cs="Arial"/>
          <w:b/>
          <w:color w:val="000000"/>
          <w:sz w:val="30"/>
          <w:szCs w:val="30"/>
          <w:u w:val="none"/>
        </w:rPr>
        <w:t xml:space="preserve">Защитни дигитални практики: изграждане на по-безопасна учебна среда </w:t>
      </w:r>
      <w:r>
        <w:rPr>
          <w:sz w:val="30"/>
          <w:szCs w:val="30"/>
        </w:rPr>
      </w:r>
      <w:r>
        <w:rPr>
          <w:sz w:val="30"/>
          <w:szCs w:val="30"/>
        </w:rPr>
      </w:r>
    </w:p>
    <w:p w14:paraId="52F2F023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160" w:before="0" w:line="328" w:lineRule="auto"/>
        <w:ind w:right="0" w:firstLine="0" w:left="0"/>
        <w:rPr/>
      </w:pPr>
      <w:r>
        <w:rPr>
          <w:rFonts w:ascii="Arial" w:hAnsi="Arial" w:eastAsia="Arial" w:cs="Arial"/>
          <w:color w:val="000000"/>
          <w:sz w:val="22"/>
          <w:u w:val="none"/>
        </w:rPr>
        <w:t xml:space="preserve">Дигиталните технологии промениха образованието и обучението, като направиха ученето по-гъвкаво, достъпно и съвместно. Онлайн платформите, облачното съхранение, инструментите за видеоконферентни връзки и изкуственият интелект вече са част от ежедневната обр</w:t>
      </w:r>
      <w:r>
        <w:rPr>
          <w:rFonts w:ascii="Arial" w:hAnsi="Arial" w:eastAsia="Arial" w:cs="Arial"/>
          <w:color w:val="000000"/>
          <w:sz w:val="22"/>
          <w:u w:val="none"/>
        </w:rPr>
        <w:t xml:space="preserve">азователна практика. С нарастващата дигитализация обаче се увеличават и </w:t>
      </w:r>
      <w:r>
        <w:rPr>
          <w:rFonts w:ascii="Arial" w:hAnsi="Arial" w:eastAsia="Arial" w:cs="Arial"/>
          <w:b/>
          <w:color w:val="000000"/>
          <w:sz w:val="22"/>
          <w:u w:val="none"/>
        </w:rPr>
        <w:t xml:space="preserve">опасенията, свързани с поверителността</w:t>
      </w:r>
      <w:r>
        <w:rPr>
          <w:rFonts w:ascii="Arial" w:hAnsi="Arial" w:eastAsia="Arial" w:cs="Arial"/>
          <w:color w:val="000000"/>
          <w:sz w:val="22"/>
          <w:u w:val="none"/>
        </w:rPr>
        <w:t xml:space="preserve">,</w:t>
      </w:r>
      <w:r>
        <w:rPr>
          <w:rFonts w:ascii="Arial" w:hAnsi="Arial" w:eastAsia="Arial" w:cs="Arial"/>
          <w:b/>
          <w:color w:val="000000"/>
          <w:sz w:val="22"/>
          <w:u w:val="none"/>
        </w:rPr>
        <w:t xml:space="preserve"> киберсигурността</w:t>
      </w:r>
      <w:r>
        <w:rPr>
          <w:rFonts w:ascii="Arial" w:hAnsi="Arial" w:eastAsia="Arial" w:cs="Arial"/>
          <w:color w:val="000000"/>
          <w:sz w:val="22"/>
          <w:u w:val="none"/>
        </w:rPr>
        <w:t xml:space="preserve"> и </w:t>
      </w:r>
      <w:r>
        <w:rPr>
          <w:rFonts w:ascii="Arial" w:hAnsi="Arial" w:eastAsia="Arial" w:cs="Arial"/>
          <w:b/>
          <w:color w:val="000000"/>
          <w:sz w:val="22"/>
          <w:u w:val="none"/>
        </w:rPr>
        <w:t xml:space="preserve">защитата на личните данни</w:t>
      </w:r>
      <w:r>
        <w:rPr>
          <w:rFonts w:ascii="Arial" w:hAnsi="Arial" w:eastAsia="Arial" w:cs="Arial"/>
          <w:color w:val="000000"/>
          <w:sz w:val="22"/>
          <w:u w:val="none"/>
        </w:rPr>
        <w:t xml:space="preserve">. </w:t>
      </w:r>
      <w:r/>
    </w:p>
    <w:p w14:paraId="204CE3F3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160" w:before="0" w:line="328" w:lineRule="auto"/>
        <w:ind w:right="0" w:firstLine="0" w:left="0"/>
        <w:rPr/>
      </w:pPr>
      <w:r>
        <w:rPr>
          <w:rFonts w:ascii="Arial" w:hAnsi="Arial" w:eastAsia="Arial" w:cs="Arial"/>
          <w:color w:val="000000"/>
          <w:sz w:val="22"/>
          <w:u w:val="none"/>
        </w:rPr>
        <w:t xml:space="preserve">В обучителния сектор, </w:t>
      </w:r>
      <w:r>
        <w:rPr>
          <w:rFonts w:ascii="Arial" w:hAnsi="Arial" w:eastAsia="Arial" w:cs="Arial"/>
          <w:b/>
          <w:color w:val="000000"/>
          <w:sz w:val="22"/>
          <w:u w:val="none"/>
        </w:rPr>
        <w:t xml:space="preserve">защитните дигитални практики</w:t>
      </w:r>
      <w:r>
        <w:rPr>
          <w:rFonts w:ascii="Arial" w:hAnsi="Arial" w:eastAsia="Arial" w:cs="Arial"/>
          <w:color w:val="000000"/>
          <w:sz w:val="22"/>
          <w:u w:val="none"/>
        </w:rPr>
        <w:t xml:space="preserve"> са от съществено значение за създаването на сигурна, надеждна и уважителна учебна среда. Те помагат обучаемите, обучителите и служителите да участват уверено в дигитални дейности, без риск от злоупотреба с данни, кибератаки или онлайн заплахи. </w:t>
      </w:r>
      <w:r/>
    </w:p>
    <w:p w14:paraId="2E39AFBE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160" w:before="0" w:line="328" w:lineRule="auto"/>
        <w:ind w:right="0" w:firstLine="0" w:left="0"/>
        <w:rPr/>
      </w:pPr>
      <w:r>
        <w:rPr>
          <w:rFonts w:ascii="Arial" w:hAnsi="Arial" w:eastAsia="Arial" w:cs="Arial"/>
          <w:color w:val="000000"/>
          <w:sz w:val="22"/>
          <w:u w:val="none"/>
        </w:rPr>
        <w:t xml:space="preserve">Всеки ден обучителните организации </w:t>
      </w:r>
      <w:r>
        <w:rPr>
          <w:rFonts w:ascii="Arial" w:hAnsi="Arial" w:eastAsia="Arial" w:cs="Arial"/>
          <w:b/>
          <w:color w:val="000000"/>
          <w:sz w:val="22"/>
          <w:u w:val="none"/>
        </w:rPr>
        <w:t xml:space="preserve">събират и обработват големи количества лична информация </w:t>
      </w:r>
      <w:r>
        <w:rPr>
          <w:rFonts w:ascii="Arial" w:hAnsi="Arial" w:eastAsia="Arial" w:cs="Arial"/>
          <w:color w:val="000000"/>
          <w:sz w:val="22"/>
          <w:u w:val="none"/>
        </w:rPr>
        <w:t xml:space="preserve">– имена, имейл адреси, учебни резултати, данни за присъствие, оценки, а понякога и чувствителна информация. Без подходящи мерки за защита тези данни могат да бъдат разкрити, откраднати или използвани неправомерно. </w:t>
      </w:r>
      <w:r/>
    </w:p>
    <w:p w14:paraId="217B1E18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160" w:before="0" w:line="328" w:lineRule="auto"/>
        <w:ind w:right="0" w:firstLine="0" w:left="0"/>
        <w:rPr/>
      </w:pPr>
      <w:r>
        <w:rPr>
          <w:rFonts w:ascii="Arial" w:hAnsi="Arial" w:eastAsia="Arial" w:cs="Arial"/>
          <w:b/>
          <w:color w:val="000000"/>
          <w:sz w:val="22"/>
          <w:u w:val="none"/>
        </w:rPr>
        <w:t xml:space="preserve">Кибер инцидентите </w:t>
      </w:r>
      <w:r>
        <w:rPr>
          <w:rFonts w:ascii="Arial" w:hAnsi="Arial" w:eastAsia="Arial" w:cs="Arial"/>
          <w:color w:val="000000"/>
          <w:sz w:val="22"/>
          <w:u w:val="none"/>
        </w:rPr>
        <w:t xml:space="preserve">стават все по-чести в световен мащаб. Според Агенцията на Европейския съюз за киберсигурност (ENISA), фишинг атаките, ransomware атаките и пробивите в данните остават сред най-разпространените заплахи за организациите, включително училища и обучителни цент</w:t>
      </w:r>
      <w:r>
        <w:rPr>
          <w:rFonts w:ascii="Arial" w:hAnsi="Arial" w:eastAsia="Arial" w:cs="Arial"/>
          <w:color w:val="000000"/>
          <w:sz w:val="22"/>
          <w:u w:val="none"/>
        </w:rPr>
        <w:t xml:space="preserve">рове. </w:t>
      </w:r>
      <w:r/>
    </w:p>
    <w:p w14:paraId="22692E19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160" w:before="0" w:line="328" w:lineRule="auto"/>
        <w:ind w:right="0" w:firstLine="0" w:left="0"/>
        <w:rPr/>
      </w:pPr>
      <w:r>
        <w:rPr>
          <w:rFonts w:ascii="Arial" w:hAnsi="Arial" w:eastAsia="Arial" w:cs="Arial"/>
          <w:color w:val="000000"/>
          <w:sz w:val="22"/>
          <w:u w:val="none"/>
        </w:rPr>
        <w:t xml:space="preserve">Затова защитните дигитални практики не са само технически мерки. Те са свързани и с </w:t>
      </w:r>
      <w:r>
        <w:rPr>
          <w:rFonts w:ascii="Arial" w:hAnsi="Arial" w:eastAsia="Arial" w:cs="Arial"/>
          <w:b/>
          <w:color w:val="000000"/>
          <w:sz w:val="22"/>
          <w:u w:val="none"/>
        </w:rPr>
        <w:t xml:space="preserve">уважението към човешкото достойнство</w:t>
      </w:r>
      <w:r>
        <w:rPr>
          <w:rFonts w:ascii="Arial" w:hAnsi="Arial" w:eastAsia="Arial" w:cs="Arial"/>
          <w:color w:val="000000"/>
          <w:sz w:val="22"/>
          <w:u w:val="none"/>
        </w:rPr>
        <w:t xml:space="preserve">, личното пространство и доверието в дигиталната учебна среда. </w:t>
      </w:r>
      <w:r/>
    </w:p>
    <w:p w14:paraId="68D437CF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160" w:before="0" w:line="328" w:lineRule="auto"/>
        <w:ind w:right="0" w:firstLine="0" w:left="0"/>
        <w:rPr/>
      </w:pPr>
      <w:r>
        <w:rPr>
          <w:rFonts w:ascii="Arial" w:hAnsi="Arial" w:eastAsia="Arial" w:cs="Arial"/>
          <w:b/>
          <w:color w:val="000000"/>
          <w:sz w:val="22"/>
          <w:u w:val="none"/>
        </w:rPr>
        <w:t xml:space="preserve">Какво представляват защитните дигитални практики? </w:t>
      </w:r>
      <w:r/>
    </w:p>
    <w:p w14:paraId="22C4B6CA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160" w:before="0" w:line="328" w:lineRule="auto"/>
        <w:ind w:right="0" w:firstLine="0" w:left="0"/>
        <w:rPr/>
      </w:pPr>
      <w:r>
        <w:rPr>
          <w:rFonts w:ascii="Arial" w:hAnsi="Arial" w:eastAsia="Arial" w:cs="Arial"/>
          <w:color w:val="000000"/>
          <w:sz w:val="22"/>
          <w:u w:val="none"/>
        </w:rPr>
        <w:t xml:space="preserve">Защитните дигитални практики включват всички действия, които </w:t>
      </w:r>
      <w:r>
        <w:rPr>
          <w:rFonts w:ascii="Arial" w:hAnsi="Arial" w:eastAsia="Arial" w:cs="Arial"/>
          <w:b/>
          <w:color w:val="000000"/>
          <w:sz w:val="22"/>
          <w:u w:val="none"/>
        </w:rPr>
        <w:t xml:space="preserve">помагат за сигурността на дигиталната среда</w:t>
      </w:r>
      <w:r>
        <w:rPr>
          <w:rFonts w:ascii="Arial" w:hAnsi="Arial" w:eastAsia="Arial" w:cs="Arial"/>
          <w:color w:val="000000"/>
          <w:sz w:val="22"/>
          <w:u w:val="none"/>
        </w:rPr>
        <w:t xml:space="preserve"> и защитата на правата на потребителите. </w:t>
      </w:r>
      <w:r/>
    </w:p>
    <w:p w14:paraId="493FA9E0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160" w:before="0" w:line="328" w:lineRule="auto"/>
        <w:ind w:right="0" w:firstLine="0" w:left="0"/>
        <w:rPr/>
      </w:pPr>
      <w:r>
        <w:rPr>
          <w:rFonts w:ascii="Arial" w:hAnsi="Arial" w:eastAsia="Arial" w:cs="Arial"/>
          <w:color w:val="000000"/>
          <w:sz w:val="22"/>
          <w:u w:val="none"/>
        </w:rPr>
        <w:t xml:space="preserve">Някои примери са: </w:t>
      </w:r>
      <w:r/>
    </w:p>
    <w:p w14:paraId="7666A820">
      <w:pPr>
        <w:pStyle w:val="892"/>
        <w:numPr>
          <w:ilvl w:val="0"/>
          <w:numId w:val="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240" w:line="331" w:lineRule="auto"/>
        <w:ind w:right="0"/>
        <w:rPr/>
      </w:pPr>
      <w:r>
        <w:rPr>
          <w:rFonts w:ascii="Arial" w:hAnsi="Arial" w:eastAsia="Arial" w:cs="Arial"/>
          <w:color w:val="000000"/>
          <w:sz w:val="22"/>
          <w:u w:val="none"/>
        </w:rPr>
        <w:t xml:space="preserve">използване на силни пароли и многофакторна автентикация;</w:t>
      </w:r>
      <w:r/>
    </w:p>
    <w:p w14:paraId="437F116B">
      <w:pPr>
        <w:pStyle w:val="892"/>
        <w:numPr>
          <w:ilvl w:val="0"/>
          <w:numId w:val="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331" w:lineRule="auto"/>
        <w:ind w:right="0"/>
        <w:rPr/>
      </w:pPr>
      <w:r>
        <w:rPr>
          <w:rFonts w:ascii="Arial" w:hAnsi="Arial" w:eastAsia="Arial" w:cs="Arial"/>
          <w:color w:val="000000"/>
          <w:sz w:val="22"/>
          <w:u w:val="none"/>
        </w:rPr>
        <w:t xml:space="preserve">редовно актуализиране на софтуер и устройства;</w:t>
      </w:r>
      <w:r/>
    </w:p>
    <w:p w14:paraId="50C95ABB">
      <w:pPr>
        <w:pStyle w:val="892"/>
        <w:numPr>
          <w:ilvl w:val="0"/>
          <w:numId w:val="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331" w:lineRule="auto"/>
        <w:ind w:right="0"/>
        <w:rPr/>
      </w:pPr>
      <w:r>
        <w:rPr>
          <w:rFonts w:ascii="Arial" w:hAnsi="Arial" w:eastAsia="Arial" w:cs="Arial"/>
          <w:color w:val="000000"/>
          <w:sz w:val="22"/>
          <w:u w:val="none"/>
        </w:rPr>
        <w:t xml:space="preserve">ограничаване на ненужното събиране на данни;</w:t>
      </w:r>
      <w:r/>
    </w:p>
    <w:p w14:paraId="3827B5AE">
      <w:pPr>
        <w:pStyle w:val="892"/>
        <w:numPr>
          <w:ilvl w:val="0"/>
          <w:numId w:val="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331" w:lineRule="auto"/>
        <w:ind w:right="0"/>
        <w:rPr/>
      </w:pPr>
      <w:r>
        <w:rPr>
          <w:rFonts w:ascii="Arial" w:hAnsi="Arial" w:eastAsia="Arial" w:cs="Arial"/>
          <w:color w:val="000000"/>
          <w:sz w:val="22"/>
          <w:u w:val="none"/>
        </w:rPr>
        <w:t xml:space="preserve">избор на платформи, съобразени с регулации за защита на данните като GDPR;</w:t>
      </w:r>
      <w:r/>
    </w:p>
    <w:p w14:paraId="1F48396F">
      <w:pPr>
        <w:pStyle w:val="892"/>
        <w:numPr>
          <w:ilvl w:val="0"/>
          <w:numId w:val="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331" w:lineRule="auto"/>
        <w:ind w:right="0"/>
        <w:rPr/>
      </w:pPr>
      <w:r>
        <w:rPr>
          <w:rFonts w:ascii="Arial" w:hAnsi="Arial" w:eastAsia="Arial" w:cs="Arial"/>
          <w:color w:val="000000"/>
          <w:sz w:val="22"/>
          <w:u w:val="none"/>
        </w:rPr>
        <w:t xml:space="preserve">обучение на служители и обучаеми да разпознават фишинг атаки, измами и дезинформация;</w:t>
      </w:r>
      <w:r/>
    </w:p>
    <w:p w14:paraId="3202A86A">
      <w:pPr>
        <w:pStyle w:val="892"/>
        <w:numPr>
          <w:ilvl w:val="0"/>
          <w:numId w:val="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240" w:before="0" w:line="331" w:lineRule="auto"/>
        <w:ind w:right="0"/>
        <w:rPr/>
      </w:pPr>
      <w:r>
        <w:rPr>
          <w:rFonts w:ascii="Arial" w:hAnsi="Arial" w:eastAsia="Arial" w:cs="Arial"/>
          <w:color w:val="000000"/>
          <w:sz w:val="22"/>
          <w:u w:val="none"/>
        </w:rPr>
        <w:t xml:space="preserve">въвеждане на ясни правила за достъп до данни и насърчаване на безопасна и уважителна онлайн комуникация.</w:t>
      </w:r>
      <w:r/>
    </w:p>
    <w:p w14:paraId="6E751B38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160" w:before="0" w:line="328" w:lineRule="auto"/>
        <w:ind w:right="0" w:firstLine="0" w:left="0"/>
        <w:rPr/>
      </w:pPr>
      <w:r>
        <w:rPr>
          <w:rFonts w:ascii="Arial" w:hAnsi="Arial" w:eastAsia="Arial" w:cs="Arial"/>
          <w:color w:val="000000"/>
          <w:sz w:val="22"/>
          <w:u w:val="none"/>
        </w:rPr>
        <w:t xml:space="preserve">Киберсигурността и защитата на личните данни често се възприемат като отговорност единствено на IT отделите. В действителност защитните дигитални практики са </w:t>
      </w:r>
      <w:r>
        <w:rPr>
          <w:rFonts w:ascii="Arial" w:hAnsi="Arial" w:eastAsia="Arial" w:cs="Arial"/>
          <w:b/>
          <w:color w:val="000000"/>
          <w:sz w:val="22"/>
          <w:u w:val="none"/>
        </w:rPr>
        <w:t xml:space="preserve">отговорност на всички в организацията</w:t>
      </w:r>
      <w:r>
        <w:rPr>
          <w:rFonts w:ascii="Arial" w:hAnsi="Arial" w:eastAsia="Arial" w:cs="Arial"/>
          <w:color w:val="000000"/>
          <w:sz w:val="22"/>
          <w:u w:val="none"/>
        </w:rPr>
        <w:t xml:space="preserve">. Обучители, административен персонал, ръководители и обучаеми имат важна роля за поддържането на сигурна дигитална среда. </w:t>
      </w:r>
      <w:r/>
    </w:p>
    <w:p w14:paraId="06BD4229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160" w:before="0" w:line="328" w:lineRule="auto"/>
        <w:ind w:right="0" w:firstLine="0" w:left="0"/>
        <w:rPr/>
      </w:pPr>
      <w:r>
        <w:rPr>
          <w:rFonts w:ascii="Arial" w:hAnsi="Arial" w:eastAsia="Arial" w:cs="Arial"/>
          <w:b/>
          <w:color w:val="000000"/>
          <w:sz w:val="22"/>
          <w:u w:val="none"/>
        </w:rPr>
        <w:t xml:space="preserve">Дори малки ежедневни действия могат значително да намалят рисковете: </w:t>
      </w:r>
      <w:r>
        <w:rPr>
          <w:rFonts w:ascii="Arial" w:hAnsi="Arial" w:eastAsia="Arial" w:cs="Arial"/>
          <w:color w:val="000000"/>
          <w:sz w:val="22"/>
          <w:u w:val="none"/>
        </w:rPr>
        <w:t xml:space="preserve">проверка на линкове преди отваряне, защита на пароли, ограничено споделяне на файлове и внимателно съхранение на информация онлайн. </w:t>
      </w:r>
      <w:r/>
    </w:p>
    <w:p w14:paraId="005FF5D0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160" w:before="0" w:line="328" w:lineRule="auto"/>
        <w:ind w:right="0" w:firstLine="0" w:left="0"/>
        <w:rPr/>
      </w:pPr>
      <w:r>
        <w:rPr>
          <w:rFonts w:ascii="Arial" w:hAnsi="Arial" w:eastAsia="Arial" w:cs="Arial"/>
          <w:color w:val="000000"/>
          <w:sz w:val="22"/>
          <w:u w:val="none"/>
        </w:rPr>
        <w:t xml:space="preserve">В рамките на </w:t>
      </w:r>
      <w:hyperlink r:id="rId9" w:tooltip="https://indigit.sustainable-digital-learning.com/index.html" w:history="1">
        <w:r>
          <w:rPr>
            <w:rStyle w:val="870"/>
            <w:rFonts w:ascii="Arial" w:hAnsi="Arial" w:eastAsia="Arial" w:cs="Arial"/>
            <w:color w:val="1155cc"/>
            <w:sz w:val="22"/>
            <w:u w:val="single"/>
          </w:rPr>
          <w:t xml:space="preserve">проекта In-DigiT</w:t>
        </w:r>
      </w:hyperlink>
      <w:r>
        <w:rPr>
          <w:rFonts w:ascii="Arial" w:hAnsi="Arial" w:eastAsia="Arial" w:cs="Arial"/>
          <w:color w:val="000000"/>
          <w:sz w:val="22"/>
          <w:u w:val="none"/>
        </w:rPr>
        <w:t xml:space="preserve">, „Защитеност“ е едно от седемте качества на отговорната дигитализация. Истинската отговорна дигитална трансформация не може да съществува без сигурност, прозрачност и уважение към правата на потребителите. </w:t>
      </w:r>
      <w:r/>
    </w:p>
    <w:p w14:paraId="45DF6F69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160" w:before="0" w:line="328" w:lineRule="auto"/>
        <w:ind w:right="0" w:firstLine="0" w:left="0"/>
        <w:rPr/>
      </w:pPr>
      <w:r>
        <w:rPr>
          <w:rFonts w:ascii="Arial" w:hAnsi="Arial" w:eastAsia="Arial" w:cs="Arial"/>
          <w:color w:val="000000"/>
          <w:sz w:val="22"/>
          <w:u w:val="none"/>
        </w:rPr>
        <w:t xml:space="preserve">Чрез прилагането на защитни дигитални практики обучителните организации не само намаляват рисковете, но и изграждат доверие, приобщаване и по-качествена дигитална учебна среда. </w:t>
      </w:r>
      <w:r/>
    </w:p>
    <w:p w14:paraId="00D24478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160" w:before="0" w:line="328" w:lineRule="auto"/>
        <w:ind w:right="0" w:firstLine="0" w:left="0"/>
        <w:rPr/>
      </w:pPr>
      <w:r>
        <w:rPr>
          <w:rFonts w:ascii="Arial" w:hAnsi="Arial" w:eastAsia="Arial" w:cs="Arial"/>
          <w:b/>
          <w:color w:val="000000"/>
          <w:sz w:val="22"/>
          <w:u w:val="none"/>
        </w:rPr>
        <w:t xml:space="preserve">Източници</w:t>
      </w:r>
      <w:r/>
    </w:p>
    <w:p w14:paraId="2955331E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Arial" w:hAnsi="Arial" w:eastAsia="Arial" w:cs="Arial"/>
          <w:color w:val="000000"/>
          <w:sz w:val="22"/>
          <w:u w:val="none"/>
        </w:rPr>
        <w:t xml:space="preserve">Агенция на Европейския съюз за киберсигурност. (2023). </w:t>
      </w:r>
      <w:r>
        <w:rPr>
          <w:rFonts w:ascii="Arial" w:hAnsi="Arial" w:eastAsia="Arial" w:cs="Arial"/>
          <w:i/>
          <w:color w:val="000000"/>
          <w:sz w:val="22"/>
          <w:u w:val="none"/>
        </w:rPr>
        <w:t xml:space="preserve">ENISA Threat Landscape 2023: July 2022 to June 2023.</w:t>
      </w:r>
      <w:r>
        <w:rPr>
          <w:rFonts w:ascii="Arial" w:hAnsi="Arial" w:eastAsia="Arial" w:cs="Arial"/>
          <w:color w:val="000000"/>
          <w:sz w:val="22"/>
          <w:u w:val="none"/>
        </w:rPr>
        <w:t xml:space="preserve"> ENISA.  </w:t>
      </w:r>
      <w:hyperlink r:id="rId10" w:tooltip="https://www.enisa.europa.eu/publications/enisa-threat-landscape-2023" w:history="1">
        <w:r>
          <w:rPr>
            <w:rStyle w:val="870"/>
            <w:rFonts w:ascii="Arial" w:hAnsi="Arial" w:eastAsia="Arial" w:cs="Arial"/>
            <w:color w:val="467886"/>
            <w:sz w:val="22"/>
            <w:u w:val="single"/>
          </w:rPr>
          <w:t xml:space="preserve">https://www.enisa.europa.eu/publications/enisa-threat-landscape-2023</w:t>
        </w:r>
      </w:hyperlink>
      <w:r>
        <w:rPr>
          <w:rFonts w:ascii="Arial" w:hAnsi="Arial" w:eastAsia="Arial" w:cs="Arial"/>
          <w:color w:val="000000"/>
          <w:sz w:val="22"/>
          <w:u w:val="none"/>
        </w:rPr>
        <w:t xml:space="preserve"> </w:t>
      </w:r>
      <w:r/>
    </w:p>
    <w:p>
      <w:pPr>
        <w:pBdr/>
        <w:spacing/>
        <w:ind/>
        <w:rPr>
          <w:lang w:val="en-US"/>
        </w:rPr>
      </w:pPr>
      <w:r>
        <w:rPr>
          <w:lang w:val="en-US"/>
        </w:rPr>
      </w:r>
      <w:r>
        <w:rPr>
          <w:lang w:val="en-US"/>
        </w:rPr>
      </w:r>
      <w:r>
        <w:rPr>
          <w:lang w:val="en-US"/>
        </w:rPr>
      </w:r>
    </w:p>
    <w:sectPr>
      <w:footnotePr/>
      <w:endnotePr/>
      <w:type w:val="nextPage"/>
      <w:pgSz w:h="16838" w:orient="portrait" w:w="11906"/>
      <w:pgMar w:top="1134" w:right="850" w:bottom="1134" w:left="170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1E9B3D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3">
    <w:name w:val="Placeholder Text"/>
    <w:basedOn w:val="893"/>
    <w:uiPriority w:val="99"/>
    <w:semiHidden/>
    <w:pPr>
      <w:pBdr/>
      <w:spacing/>
      <w:ind/>
    </w:pPr>
    <w:rPr>
      <w:color w:val="666666"/>
    </w:rPr>
  </w:style>
  <w:style w:type="character" w:styleId="704">
    <w:name w:val="Intense Emphasis"/>
    <w:basedOn w:val="893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05">
    <w:name w:val="Intense Reference"/>
    <w:basedOn w:val="893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06">
    <w:name w:val="Subtle Emphasis"/>
    <w:basedOn w:val="89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07">
    <w:name w:val="Emphasis"/>
    <w:basedOn w:val="893"/>
    <w:uiPriority w:val="20"/>
    <w:qFormat/>
    <w:pPr>
      <w:pBdr/>
      <w:spacing/>
      <w:ind/>
    </w:pPr>
    <w:rPr>
      <w:i/>
      <w:iCs/>
    </w:rPr>
  </w:style>
  <w:style w:type="character" w:styleId="708">
    <w:name w:val="Strong"/>
    <w:basedOn w:val="893"/>
    <w:uiPriority w:val="22"/>
    <w:qFormat/>
    <w:pPr>
      <w:pBdr/>
      <w:spacing/>
      <w:ind/>
    </w:pPr>
    <w:rPr>
      <w:b/>
      <w:bCs/>
    </w:rPr>
  </w:style>
  <w:style w:type="character" w:styleId="709">
    <w:name w:val="Subtle Reference"/>
    <w:basedOn w:val="89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10">
    <w:name w:val="Book Title"/>
    <w:basedOn w:val="893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11">
    <w:name w:val="FollowedHyperlink"/>
    <w:basedOn w:val="893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712">
    <w:name w:val="Heading 1"/>
    <w:basedOn w:val="888"/>
    <w:next w:val="888"/>
    <w:link w:val="713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713">
    <w:name w:val="Heading 1 Char"/>
    <w:link w:val="712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714">
    <w:name w:val="Heading 2"/>
    <w:basedOn w:val="888"/>
    <w:next w:val="888"/>
    <w:link w:val="715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715">
    <w:name w:val="Heading 2 Char"/>
    <w:link w:val="714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716">
    <w:name w:val="Heading 3"/>
    <w:basedOn w:val="888"/>
    <w:next w:val="888"/>
    <w:link w:val="717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717">
    <w:name w:val="Heading 3 Char"/>
    <w:link w:val="716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718">
    <w:name w:val="Heading 4"/>
    <w:basedOn w:val="888"/>
    <w:next w:val="888"/>
    <w:link w:val="719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19">
    <w:name w:val="Heading 4 Char"/>
    <w:link w:val="718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720">
    <w:name w:val="Heading 5"/>
    <w:basedOn w:val="888"/>
    <w:next w:val="888"/>
    <w:link w:val="721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21">
    <w:name w:val="Heading 5 Char"/>
    <w:link w:val="720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722">
    <w:name w:val="Heading 6"/>
    <w:basedOn w:val="888"/>
    <w:next w:val="888"/>
    <w:link w:val="723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23">
    <w:name w:val="Heading 6 Char"/>
    <w:link w:val="722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724">
    <w:name w:val="Heading 7"/>
    <w:basedOn w:val="888"/>
    <w:next w:val="888"/>
    <w:link w:val="725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25">
    <w:name w:val="Heading 7 Char"/>
    <w:link w:val="724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26">
    <w:name w:val="Heading 8"/>
    <w:basedOn w:val="888"/>
    <w:next w:val="888"/>
    <w:link w:val="727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27">
    <w:name w:val="Heading 8 Char"/>
    <w:link w:val="726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728">
    <w:name w:val="Heading 9"/>
    <w:basedOn w:val="888"/>
    <w:next w:val="888"/>
    <w:link w:val="729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9">
    <w:name w:val="Heading 9 Char"/>
    <w:link w:val="728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30">
    <w:name w:val="Title"/>
    <w:basedOn w:val="888"/>
    <w:next w:val="888"/>
    <w:link w:val="731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31">
    <w:name w:val="Title Char"/>
    <w:link w:val="730"/>
    <w:uiPriority w:val="10"/>
    <w:pPr>
      <w:pBdr/>
      <w:spacing/>
      <w:ind/>
    </w:pPr>
    <w:rPr>
      <w:sz w:val="48"/>
      <w:szCs w:val="48"/>
    </w:rPr>
  </w:style>
  <w:style w:type="paragraph" w:styleId="732">
    <w:name w:val="Subtitle"/>
    <w:basedOn w:val="888"/>
    <w:next w:val="888"/>
    <w:link w:val="733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33">
    <w:name w:val="Subtitle Char"/>
    <w:link w:val="732"/>
    <w:uiPriority w:val="11"/>
    <w:pPr>
      <w:pBdr/>
      <w:spacing/>
      <w:ind/>
    </w:pPr>
    <w:rPr>
      <w:sz w:val="24"/>
      <w:szCs w:val="24"/>
    </w:rPr>
  </w:style>
  <w:style w:type="paragraph" w:styleId="734">
    <w:name w:val="Quote"/>
    <w:basedOn w:val="888"/>
    <w:next w:val="888"/>
    <w:link w:val="735"/>
    <w:uiPriority w:val="29"/>
    <w:qFormat/>
    <w:pPr>
      <w:pBdr/>
      <w:spacing/>
      <w:ind w:right="720" w:left="720"/>
    </w:pPr>
    <w:rPr>
      <w:i/>
    </w:rPr>
  </w:style>
  <w:style w:type="character" w:styleId="735">
    <w:name w:val="Quote Char"/>
    <w:link w:val="734"/>
    <w:uiPriority w:val="29"/>
    <w:pPr>
      <w:pBdr/>
      <w:spacing/>
      <w:ind/>
    </w:pPr>
    <w:rPr>
      <w:i/>
    </w:rPr>
  </w:style>
  <w:style w:type="paragraph" w:styleId="736">
    <w:name w:val="Intense Quote"/>
    <w:basedOn w:val="888"/>
    <w:next w:val="888"/>
    <w:link w:val="737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737">
    <w:name w:val="Intense Quote Char"/>
    <w:link w:val="736"/>
    <w:uiPriority w:val="30"/>
    <w:pPr>
      <w:pBdr/>
      <w:spacing/>
      <w:ind/>
    </w:pPr>
    <w:rPr>
      <w:i/>
    </w:rPr>
  </w:style>
  <w:style w:type="paragraph" w:styleId="738">
    <w:name w:val="Header"/>
    <w:basedOn w:val="888"/>
    <w:link w:val="739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39">
    <w:name w:val="Header Char"/>
    <w:link w:val="738"/>
    <w:uiPriority w:val="99"/>
    <w:pPr>
      <w:pBdr/>
      <w:spacing/>
      <w:ind/>
    </w:pPr>
  </w:style>
  <w:style w:type="paragraph" w:styleId="740">
    <w:name w:val="Footer"/>
    <w:basedOn w:val="888"/>
    <w:link w:val="743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41">
    <w:name w:val="Footer Char"/>
    <w:link w:val="740"/>
    <w:uiPriority w:val="99"/>
    <w:pPr>
      <w:pBdr/>
      <w:spacing/>
      <w:ind/>
    </w:pPr>
  </w:style>
  <w:style w:type="paragraph" w:styleId="742">
    <w:name w:val="Caption"/>
    <w:basedOn w:val="888"/>
    <w:next w:val="888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43">
    <w:name w:val="Caption Char"/>
    <w:basedOn w:val="742"/>
    <w:link w:val="740"/>
    <w:uiPriority w:val="99"/>
    <w:pPr>
      <w:pBdr/>
      <w:spacing/>
      <w:ind/>
    </w:pPr>
  </w:style>
  <w:style w:type="table" w:styleId="744">
    <w:name w:val="Table Grid"/>
    <w:basedOn w:val="88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Table Grid Light"/>
    <w:basedOn w:val="88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Plain Table 1"/>
    <w:basedOn w:val="88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Plain Table 2"/>
    <w:basedOn w:val="88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Plain Table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Plain Table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Plain Table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1 Light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1 Light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1 Light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1 Light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1 Light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1 Light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1 Light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2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2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2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2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2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2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3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3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3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3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3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3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4"/>
    <w:basedOn w:val="88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4 - Accent 1"/>
    <w:basedOn w:val="88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4 - Accent 2"/>
    <w:basedOn w:val="88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4 - Accent 3"/>
    <w:basedOn w:val="88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4 - Accent 4"/>
    <w:basedOn w:val="88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4 - Accent 5"/>
    <w:basedOn w:val="88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4 - Accent 6"/>
    <w:basedOn w:val="88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5 Dark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5 Dark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5 Dark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5 Dark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5 Dark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5 Dark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5 Dark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6 Colorful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6 Colorful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6 Colorful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6 Colorful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6 Colorful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6 Colorful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6 Colorful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7 Colorful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7 Colorful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7 Colorful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7 Colorful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7 Colorful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7 Colorful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7 Colorful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1 Light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1 Light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1 Light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1 Light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1 Light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1 Light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1 Light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2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2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2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2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2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2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3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3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3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3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3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3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4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4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4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4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4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4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5 Dark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5 Dark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5 Dark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5 Dark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5 Dark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5 Dark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5 Dark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6 Colorful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6 Colorful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6 Colorful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6 Colorful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6 Colorful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6 Colorful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6 Colorful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7 Colorful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7 Colorful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7 Colorful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7 Colorful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7 Colorful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7 Colorful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7 Colorful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ned - Accent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ned - Accent 1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ned - Accent 2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ned - Accent 3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ned - Accent 4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ned - Accent 5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ned - Accent 6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Bordered &amp; Lined - Accent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Bordered &amp; Lined - Accent 1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Bordered &amp; Lined - Accent 2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Bordered &amp; Lined - Accent 3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Bordered &amp; Lined - Accent 4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Bordered &amp; Lined - Accent 5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Bordered &amp; Lined - Accent 6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Bordered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Bordered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Bordered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Bordered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Bordered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Bordered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Bordered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70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71">
    <w:name w:val="footnote text"/>
    <w:basedOn w:val="888"/>
    <w:link w:val="872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72">
    <w:name w:val="Footnote Text Char"/>
    <w:link w:val="871"/>
    <w:uiPriority w:val="99"/>
    <w:pPr>
      <w:pBdr/>
      <w:spacing/>
      <w:ind/>
    </w:pPr>
    <w:rPr>
      <w:sz w:val="18"/>
    </w:rPr>
  </w:style>
  <w:style w:type="character" w:styleId="873">
    <w:name w:val="footnote reference"/>
    <w:uiPriority w:val="99"/>
    <w:unhideWhenUsed/>
    <w:pPr>
      <w:pBdr/>
      <w:spacing/>
      <w:ind/>
    </w:pPr>
    <w:rPr>
      <w:vertAlign w:val="superscript"/>
    </w:rPr>
  </w:style>
  <w:style w:type="paragraph" w:styleId="874">
    <w:name w:val="endnote text"/>
    <w:basedOn w:val="888"/>
    <w:link w:val="875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875">
    <w:name w:val="Endnote Text Char"/>
    <w:link w:val="874"/>
    <w:uiPriority w:val="99"/>
    <w:pPr>
      <w:pBdr/>
      <w:spacing/>
      <w:ind/>
    </w:pPr>
    <w:rPr>
      <w:sz w:val="20"/>
    </w:rPr>
  </w:style>
  <w:style w:type="character" w:styleId="876">
    <w:name w:val="endnote reference"/>
    <w:uiPriority w:val="99"/>
    <w:semiHidden/>
    <w:unhideWhenUsed/>
    <w:pPr>
      <w:pBdr/>
      <w:spacing/>
      <w:ind/>
    </w:pPr>
    <w:rPr>
      <w:vertAlign w:val="superscript"/>
    </w:rPr>
  </w:style>
  <w:style w:type="paragraph" w:styleId="877">
    <w:name w:val="toc 1"/>
    <w:basedOn w:val="888"/>
    <w:next w:val="888"/>
    <w:uiPriority w:val="39"/>
    <w:unhideWhenUsed/>
    <w:pPr>
      <w:pBdr/>
      <w:spacing w:after="57"/>
      <w:ind w:right="0" w:firstLine="0" w:left="0"/>
    </w:pPr>
  </w:style>
  <w:style w:type="paragraph" w:styleId="878">
    <w:name w:val="toc 2"/>
    <w:basedOn w:val="888"/>
    <w:next w:val="888"/>
    <w:uiPriority w:val="39"/>
    <w:unhideWhenUsed/>
    <w:pPr>
      <w:pBdr/>
      <w:spacing w:after="57"/>
      <w:ind w:right="0" w:firstLine="0" w:left="283"/>
    </w:pPr>
  </w:style>
  <w:style w:type="paragraph" w:styleId="879">
    <w:name w:val="toc 3"/>
    <w:basedOn w:val="888"/>
    <w:next w:val="888"/>
    <w:uiPriority w:val="39"/>
    <w:unhideWhenUsed/>
    <w:pPr>
      <w:pBdr/>
      <w:spacing w:after="57"/>
      <w:ind w:right="0" w:firstLine="0" w:left="567"/>
    </w:pPr>
  </w:style>
  <w:style w:type="paragraph" w:styleId="880">
    <w:name w:val="toc 4"/>
    <w:basedOn w:val="888"/>
    <w:next w:val="888"/>
    <w:uiPriority w:val="39"/>
    <w:unhideWhenUsed/>
    <w:pPr>
      <w:pBdr/>
      <w:spacing w:after="57"/>
      <w:ind w:right="0" w:firstLine="0" w:left="850"/>
    </w:pPr>
  </w:style>
  <w:style w:type="paragraph" w:styleId="881">
    <w:name w:val="toc 5"/>
    <w:basedOn w:val="888"/>
    <w:next w:val="888"/>
    <w:uiPriority w:val="39"/>
    <w:unhideWhenUsed/>
    <w:pPr>
      <w:pBdr/>
      <w:spacing w:after="57"/>
      <w:ind w:right="0" w:firstLine="0" w:left="1134"/>
    </w:pPr>
  </w:style>
  <w:style w:type="paragraph" w:styleId="882">
    <w:name w:val="toc 6"/>
    <w:basedOn w:val="888"/>
    <w:next w:val="888"/>
    <w:uiPriority w:val="39"/>
    <w:unhideWhenUsed/>
    <w:pPr>
      <w:pBdr/>
      <w:spacing w:after="57"/>
      <w:ind w:right="0" w:firstLine="0" w:left="1417"/>
    </w:pPr>
  </w:style>
  <w:style w:type="paragraph" w:styleId="883">
    <w:name w:val="toc 7"/>
    <w:basedOn w:val="888"/>
    <w:next w:val="888"/>
    <w:uiPriority w:val="39"/>
    <w:unhideWhenUsed/>
    <w:pPr>
      <w:pBdr/>
      <w:spacing w:after="57"/>
      <w:ind w:right="0" w:firstLine="0" w:left="1701"/>
    </w:pPr>
  </w:style>
  <w:style w:type="paragraph" w:styleId="884">
    <w:name w:val="toc 8"/>
    <w:basedOn w:val="888"/>
    <w:next w:val="888"/>
    <w:uiPriority w:val="39"/>
    <w:unhideWhenUsed/>
    <w:pPr>
      <w:pBdr/>
      <w:spacing w:after="57"/>
      <w:ind w:right="0" w:firstLine="0" w:left="1984"/>
    </w:pPr>
  </w:style>
  <w:style w:type="paragraph" w:styleId="885">
    <w:name w:val="toc 9"/>
    <w:basedOn w:val="888"/>
    <w:next w:val="888"/>
    <w:uiPriority w:val="39"/>
    <w:unhideWhenUsed/>
    <w:pPr>
      <w:pBdr/>
      <w:spacing w:after="57"/>
      <w:ind w:right="0" w:firstLine="0" w:left="2268"/>
    </w:pPr>
  </w:style>
  <w:style w:type="paragraph" w:styleId="886">
    <w:name w:val="TOC Heading"/>
    <w:uiPriority w:val="39"/>
    <w:unhideWhenUsed/>
    <w:pPr>
      <w:pBdr/>
      <w:spacing/>
      <w:ind/>
    </w:pPr>
  </w:style>
  <w:style w:type="paragraph" w:styleId="887">
    <w:name w:val="table of figures"/>
    <w:basedOn w:val="888"/>
    <w:next w:val="888"/>
    <w:uiPriority w:val="99"/>
    <w:unhideWhenUsed/>
    <w:pPr>
      <w:pBdr/>
      <w:spacing w:after="0" w:afterAutospacing="0"/>
      <w:ind/>
    </w:pPr>
  </w:style>
  <w:style w:type="paragraph" w:styleId="888" w:default="1">
    <w:name w:val="Normal"/>
    <w:qFormat/>
    <w:pPr>
      <w:pBdr/>
      <w:spacing/>
      <w:ind/>
    </w:pPr>
  </w:style>
  <w:style w:type="table" w:styleId="889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90" w:default="1">
    <w:name w:val="No List"/>
    <w:uiPriority w:val="99"/>
    <w:semiHidden/>
    <w:unhideWhenUsed/>
    <w:pPr>
      <w:pBdr/>
      <w:spacing/>
      <w:ind/>
    </w:pPr>
  </w:style>
  <w:style w:type="paragraph" w:styleId="891">
    <w:name w:val="No Spacing"/>
    <w:basedOn w:val="888"/>
    <w:uiPriority w:val="1"/>
    <w:qFormat/>
    <w:pPr>
      <w:pBdr/>
      <w:spacing w:after="0" w:line="240" w:lineRule="auto"/>
      <w:ind/>
    </w:pPr>
  </w:style>
  <w:style w:type="paragraph" w:styleId="892">
    <w:name w:val="List Paragraph"/>
    <w:basedOn w:val="888"/>
    <w:uiPriority w:val="34"/>
    <w:qFormat/>
    <w:pPr>
      <w:pBdr/>
      <w:spacing/>
      <w:ind w:left="720"/>
      <w:contextualSpacing w:val="true"/>
    </w:pPr>
  </w:style>
  <w:style w:type="character" w:styleId="893" w:default="1">
    <w:name w:val="Default Paragraph Font"/>
    <w:uiPriority w:val="1"/>
    <w:semiHidden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indigit.sustainable-digital-learning.com/index.html" TargetMode="External"/><Relationship Id="rId10" Type="http://schemas.openxmlformats.org/officeDocument/2006/relationships/hyperlink" Target="https://www.enisa.europa.eu/publications/enisa-threat-landscape-2023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onlyoffice/9.3.1.10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Marinela  Koleva</cp:lastModifiedBy>
  <cp:revision>5</cp:revision>
  <dcterms:modified xsi:type="dcterms:W3CDTF">2026-05-24T14:19:49Z</dcterms:modified>
</cp:coreProperties>
</file>