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394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Будинок </w:t>
            </w:r>
            <w:r w:rsidR="00394DCA">
              <w:rPr>
                <w:rFonts w:ascii="Tahoma" w:hAnsi="Tahoma" w:cs="Tahoma"/>
                <w:iCs/>
                <w:color w:val="000000"/>
              </w:rPr>
              <w:t>6000х9500мм.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394DCA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Фальц-настил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394DCA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</w:rPr>
              <w:t>Фальц-настил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  <w:bookmarkStart w:id="0" w:name="_GoBack"/>
            <w:bookmarkEnd w:id="0"/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99758E" w:rsidRDefault="0099758E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  <w:p w:rsidR="00DF65D6" w:rsidRPr="005E4B67" w:rsidRDefault="00DF65D6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99758E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99758E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DF65D6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r>
              <w:rPr>
                <w:rFonts w:ascii="Tahoma" w:hAnsi="Tahoma" w:cs="Tahoma"/>
                <w:iCs/>
                <w:color w:val="000000"/>
              </w:rPr>
              <w:t>, та встановлений комплект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94DCA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99758E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DF65D6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079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2025-11-18T13:48:00Z</dcterms:created>
  <dcterms:modified xsi:type="dcterms:W3CDTF">2025-11-18T21:12:00Z</dcterms:modified>
</cp:coreProperties>
</file>